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76A" w:rsidRDefault="00E9376A" w:rsidP="00005F68">
      <w:pPr>
        <w:contextualSpacing/>
        <w:rPr>
          <w:rFonts w:eastAsia="Calibri"/>
          <w:b/>
          <w:bCs/>
        </w:rPr>
      </w:pPr>
    </w:p>
    <w:p w:rsidR="00005F68" w:rsidRPr="0006683E" w:rsidRDefault="00E9376A" w:rsidP="00005F68">
      <w:pPr>
        <w:contextualSpacing/>
        <w:rPr>
          <w:rFonts w:eastAsia="Calibri"/>
          <w:b/>
          <w:bCs/>
        </w:rPr>
      </w:pPr>
      <w:r w:rsidRPr="0006683E">
        <w:rPr>
          <w:rFonts w:eastAsia="Calibri"/>
          <w:bCs/>
          <w:noProof/>
        </w:rPr>
        <w:drawing>
          <wp:anchor distT="0" distB="0" distL="114300" distR="114300" simplePos="0" relativeHeight="251659264" behindDoc="1" locked="0" layoutInCell="1" allowOverlap="1" wp14:anchorId="1E6E314E" wp14:editId="0466445F">
            <wp:simplePos x="0" y="0"/>
            <wp:positionH relativeFrom="column">
              <wp:posOffset>2289810</wp:posOffset>
            </wp:positionH>
            <wp:positionV relativeFrom="paragraph">
              <wp:posOffset>-506730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683E" w:rsidRPr="0006683E">
        <w:rPr>
          <w:rFonts w:eastAsia="Calibri"/>
          <w:b/>
          <w:bCs/>
        </w:rPr>
        <w:t>ПРОЕКТ</w:t>
      </w:r>
    </w:p>
    <w:p w:rsidR="00005F68" w:rsidRDefault="00005F68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E9376A" w:rsidRDefault="00E9376A" w:rsidP="00005F68">
      <w:pPr>
        <w:contextualSpacing/>
        <w:rPr>
          <w:rFonts w:eastAsia="Calibri"/>
          <w:b/>
          <w:bCs/>
          <w:sz w:val="20"/>
          <w:szCs w:val="20"/>
        </w:rPr>
      </w:pPr>
    </w:p>
    <w:p w:rsidR="00DD622A" w:rsidRDefault="00DD622A" w:rsidP="0006683E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Бесланское городское поселение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005F68" w:rsidRPr="00442D41" w:rsidRDefault="00005F68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005F68" w:rsidRPr="00442D41" w:rsidRDefault="004F2B97" w:rsidP="00005F68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Решение № </w:t>
      </w: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</w:t>
      </w:r>
      <w:r w:rsidR="006A44E7">
        <w:rPr>
          <w:rFonts w:eastAsia="Calibri"/>
          <w:b/>
          <w:bCs/>
          <w:sz w:val="28"/>
          <w:szCs w:val="28"/>
        </w:rPr>
        <w:t>«___»______202</w:t>
      </w:r>
      <w:r w:rsidR="005B66DE">
        <w:rPr>
          <w:rFonts w:eastAsia="Calibri"/>
          <w:b/>
          <w:bCs/>
          <w:sz w:val="28"/>
          <w:szCs w:val="28"/>
        </w:rPr>
        <w:t>3</w:t>
      </w:r>
      <w:r w:rsidR="0006683E">
        <w:rPr>
          <w:rFonts w:eastAsia="Calibri"/>
          <w:b/>
          <w:bCs/>
          <w:sz w:val="28"/>
          <w:szCs w:val="28"/>
        </w:rPr>
        <w:t xml:space="preserve">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 w:rsidR="00650778"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               </w:t>
      </w:r>
      <w:r w:rsidR="004F2B97"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005F68" w:rsidRPr="003F321D" w:rsidTr="0006683E">
        <w:tc>
          <w:tcPr>
            <w:tcW w:w="5495" w:type="dxa"/>
          </w:tcPr>
          <w:p w:rsidR="00005F68" w:rsidRPr="003F321D" w:rsidRDefault="0006683E" w:rsidP="005B66DE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 w:rsidR="0060490E">
              <w:rPr>
                <w:rFonts w:eastAsia="Calibri"/>
                <w:b/>
                <w:bCs/>
                <w:sz w:val="28"/>
                <w:szCs w:val="28"/>
              </w:rPr>
              <w:t>ого городского поселения на 202</w:t>
            </w:r>
            <w:r w:rsidR="005B66DE">
              <w:rPr>
                <w:rFonts w:eastAsia="Calibri"/>
                <w:b/>
                <w:bCs/>
                <w:sz w:val="28"/>
                <w:szCs w:val="28"/>
              </w:rPr>
              <w:t>4</w:t>
            </w:r>
            <w:r w:rsidR="00005F68" w:rsidRPr="003F321D">
              <w:rPr>
                <w:rFonts w:eastAsia="Calibri"/>
                <w:b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5276" w:type="dxa"/>
          </w:tcPr>
          <w:p w:rsidR="00005F68" w:rsidRPr="003F321D" w:rsidRDefault="00005F68" w:rsidP="00AC07F3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005F68" w:rsidRPr="003F321D" w:rsidRDefault="00005F68" w:rsidP="00005F68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="00CA28C8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>принимая во внимание итоги пуб</w:t>
      </w:r>
      <w:r w:rsidR="004C41DA">
        <w:rPr>
          <w:rFonts w:eastAsia="Calibri"/>
          <w:bCs/>
          <w:sz w:val="28"/>
          <w:szCs w:val="28"/>
        </w:rPr>
        <w:t xml:space="preserve">личных слушаний от </w:t>
      </w:r>
      <w:r w:rsidR="00D62912">
        <w:rPr>
          <w:rFonts w:eastAsia="Calibri"/>
          <w:bCs/>
          <w:sz w:val="28"/>
          <w:szCs w:val="28"/>
        </w:rPr>
        <w:t>13</w:t>
      </w:r>
      <w:r w:rsidR="004C41DA">
        <w:rPr>
          <w:rFonts w:eastAsia="Calibri"/>
          <w:bCs/>
          <w:sz w:val="28"/>
          <w:szCs w:val="28"/>
        </w:rPr>
        <w:t xml:space="preserve"> </w:t>
      </w:r>
      <w:r w:rsidR="00D62912">
        <w:rPr>
          <w:rFonts w:eastAsia="Calibri"/>
          <w:bCs/>
          <w:sz w:val="28"/>
          <w:szCs w:val="28"/>
        </w:rPr>
        <w:t>декабря</w:t>
      </w:r>
      <w:r w:rsidR="00A975C7">
        <w:rPr>
          <w:rFonts w:eastAsia="Calibri"/>
          <w:bCs/>
          <w:sz w:val="28"/>
          <w:szCs w:val="28"/>
        </w:rPr>
        <w:t xml:space="preserve"> </w:t>
      </w:r>
      <w:r w:rsidR="006A44E7">
        <w:rPr>
          <w:rFonts w:eastAsia="Calibri"/>
          <w:bCs/>
          <w:sz w:val="28"/>
          <w:szCs w:val="28"/>
        </w:rPr>
        <w:t>202</w:t>
      </w:r>
      <w:r w:rsidR="0044421E">
        <w:rPr>
          <w:rFonts w:eastAsia="Calibri"/>
          <w:bCs/>
          <w:sz w:val="28"/>
          <w:szCs w:val="28"/>
        </w:rPr>
        <w:t>3</w:t>
      </w:r>
      <w:r w:rsidRPr="00986864">
        <w:rPr>
          <w:rFonts w:eastAsia="Calibri"/>
          <w:bCs/>
          <w:sz w:val="28"/>
          <w:szCs w:val="28"/>
        </w:rPr>
        <w:t>г., рассмотре</w:t>
      </w:r>
      <w:r w:rsidR="00A975C7"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 района Республики Северная Осетия-Алания бюджет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44421E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год,</w:t>
      </w:r>
      <w:r w:rsidR="00E36111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 w:rsidR="00CA28C8"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 Бесланского городского поселения</w:t>
      </w:r>
      <w:bookmarkStart w:id="0" w:name="_GoBack"/>
      <w:bookmarkEnd w:id="0"/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2F3F38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986864" w:rsidRPr="00BE450D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доходов бюджета Бесланского гор</w:t>
      </w:r>
      <w:r w:rsidR="004C41DA" w:rsidRPr="00BE450D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BE450D" w:rsidRPr="00BE450D">
        <w:rPr>
          <w:rFonts w:eastAsia="Calibri"/>
          <w:bCs/>
          <w:sz w:val="28"/>
          <w:szCs w:val="28"/>
        </w:rPr>
        <w:t xml:space="preserve">119 336,8 </w:t>
      </w:r>
      <w:r w:rsidRPr="00BE450D">
        <w:rPr>
          <w:rFonts w:eastAsia="Calibri"/>
          <w:bCs/>
          <w:sz w:val="28"/>
          <w:szCs w:val="28"/>
        </w:rPr>
        <w:t>тыс. руб.;</w:t>
      </w:r>
    </w:p>
    <w:p w:rsidR="00986864" w:rsidRPr="00986864" w:rsidRDefault="00986864" w:rsidP="00AC07F3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BE450D">
        <w:rPr>
          <w:rFonts w:eastAsia="Calibri"/>
          <w:bCs/>
          <w:sz w:val="28"/>
          <w:szCs w:val="28"/>
        </w:rPr>
        <w:t>- общий объем расходов бюджета Бесланского гор</w:t>
      </w:r>
      <w:r w:rsidR="006A44E7" w:rsidRPr="00BE450D">
        <w:rPr>
          <w:rFonts w:eastAsia="Calibri"/>
          <w:bCs/>
          <w:sz w:val="28"/>
          <w:szCs w:val="28"/>
        </w:rPr>
        <w:t xml:space="preserve">одского поселения в сумме </w:t>
      </w:r>
      <w:r w:rsidR="00BE450D" w:rsidRPr="00BE450D">
        <w:rPr>
          <w:rFonts w:eastAsia="Calibri"/>
          <w:bCs/>
          <w:sz w:val="28"/>
          <w:szCs w:val="28"/>
        </w:rPr>
        <w:t xml:space="preserve">119 336,8 </w:t>
      </w:r>
      <w:r w:rsidRPr="00BE450D">
        <w:rPr>
          <w:rFonts w:eastAsia="Calibri"/>
          <w:bCs/>
          <w:sz w:val="28"/>
          <w:szCs w:val="28"/>
        </w:rPr>
        <w:t>тыс. руб.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2. Утвердить доходы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2F3F38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в соответствии с классификацией доходов бюджетов Российской Федерации (приложение №2).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3.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A5731D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(приложение № 3).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4. Утвердить расходы бюджета Бесланск</w:t>
      </w:r>
      <w:r w:rsidR="006A44E7">
        <w:rPr>
          <w:rFonts w:eastAsia="Calibri"/>
          <w:bCs/>
          <w:sz w:val="28"/>
          <w:szCs w:val="28"/>
        </w:rPr>
        <w:t>ого городского поселения на 202</w:t>
      </w:r>
      <w:r w:rsidR="000F225C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5. Утвердить оборо</w:t>
      </w:r>
      <w:r w:rsidR="006A44E7">
        <w:rPr>
          <w:rFonts w:eastAsia="Calibri"/>
          <w:bCs/>
          <w:sz w:val="28"/>
          <w:szCs w:val="28"/>
        </w:rPr>
        <w:t>тную кассовую наличность на 202</w:t>
      </w:r>
      <w:r w:rsidR="00320A40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444758" w:rsidRPr="00444758" w:rsidRDefault="006A44E7" w:rsidP="004447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</w:t>
      </w:r>
      <w:r w:rsidRPr="00064814">
        <w:rPr>
          <w:rFonts w:eastAsia="Calibri"/>
          <w:bCs/>
          <w:sz w:val="28"/>
          <w:szCs w:val="28"/>
        </w:rPr>
        <w:t xml:space="preserve">6. </w:t>
      </w:r>
      <w:proofErr w:type="gramStart"/>
      <w:r w:rsidR="00444758"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444758">
        <w:rPr>
          <w:rFonts w:eastAsia="Calibri"/>
          <w:sz w:val="28"/>
          <w:szCs w:val="28"/>
          <w:lang w:eastAsia="en-US"/>
        </w:rPr>
        <w:t>4</w:t>
      </w:r>
      <w:r w:rsidR="00444758"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="00444758"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="00444758"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="00444758"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="00444758"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="00444758"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="00444758"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="00444758"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="00444758"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Бесланского городского поселения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3"/>
      <w:bookmarkEnd w:id="1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"/>
      <w:bookmarkEnd w:id="2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 района Республики Северная Осетия-Алания;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 w:rsidR="00B215CF"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 xml:space="preserve">и автономными учреждениями Бесланского городского поселения Правобережного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444758">
        <w:rPr>
          <w:rFonts w:eastAsia="Calibri"/>
          <w:sz w:val="28"/>
          <w:szCs w:val="28"/>
          <w:lang w:eastAsia="en-US"/>
        </w:rPr>
        <w:lastRenderedPageBreak/>
        <w:t xml:space="preserve">3) бюджетные инвестиции, предоставляемые юридическим лицам, из бюджета Бесланского городского поселения Правобережного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7"/>
      <w:bookmarkEnd w:id="4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9"/>
      <w:bookmarkEnd w:id="5"/>
      <w:r w:rsidRPr="00444758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предоставляемые на основании муниципальных контрактов (контрактов, договоров, соглашений),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городским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и пригородным транспортом, подписки на периодические издания, аренды, осуществления работ по переносу (переустройству, присоединению) принадлежащих юридическим лицам инженерных сетей, коммуникаций, сооружений,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услуг по приему платежей от физических лиц, осуществляемых платежными агентами.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0"/>
      <w:bookmarkEnd w:id="6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1A38E5"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444758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444758">
        <w:rPr>
          <w:rFonts w:eastAsia="Calibri"/>
          <w:sz w:val="28"/>
          <w:szCs w:val="28"/>
          <w:lang w:eastAsia="en-US"/>
        </w:rPr>
        <w:t>-частном партнерстве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перечисление 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товаров в кредитных организациях, при представлении заказчиками по таким контрактам (договорам) в территориальные органы Федерального казначейства документов, подтверждающих поставку товаров. </w:t>
      </w:r>
      <w:proofErr w:type="gramEnd"/>
    </w:p>
    <w:p w:rsidR="00444758" w:rsidRPr="00444758" w:rsidRDefault="00444758" w:rsidP="0044475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5.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Положения </w:t>
      </w:r>
      <w:hyperlink r:id="rId18" w:anchor="Par10" w:history="1">
        <w:r w:rsidRPr="00444758">
          <w:rPr>
            <w:rFonts w:eastAsia="Calibri"/>
            <w:sz w:val="28"/>
            <w:szCs w:val="28"/>
            <w:lang w:eastAsia="en-US"/>
          </w:rPr>
          <w:t>части 4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поставщикам по таким контрактам (договорам) в кредитных организациях.</w:t>
      </w:r>
      <w:proofErr w:type="gramEnd"/>
    </w:p>
    <w:p w:rsidR="00986864" w:rsidRPr="00986864" w:rsidRDefault="00444758" w:rsidP="001A38E5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 w:rsidR="001A38E5">
        <w:rPr>
          <w:rFonts w:eastAsia="Calibri"/>
          <w:sz w:val="28"/>
          <w:szCs w:val="28"/>
          <w:lang w:eastAsia="en-US"/>
        </w:rPr>
        <w:t>4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>пунктах 3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территориальных органах Федерального казначейства,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территориальный орган Федерального казначейства документов</w:t>
      </w:r>
      <w:proofErr w:type="gramEnd"/>
      <w:r w:rsidRPr="00444758">
        <w:rPr>
          <w:rFonts w:eastAsia="Calibri"/>
          <w:sz w:val="28"/>
          <w:szCs w:val="28"/>
          <w:lang w:eastAsia="en-US"/>
        </w:rPr>
        <w:t>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6864" w:rsidRPr="00986864" w:rsidRDefault="006A44E7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 Установить, что в 202</w:t>
      </w:r>
      <w:r w:rsidR="003A776B">
        <w:rPr>
          <w:rFonts w:eastAsia="Calibri"/>
          <w:bCs/>
          <w:sz w:val="28"/>
          <w:szCs w:val="28"/>
        </w:rPr>
        <w:t>4</w:t>
      </w:r>
      <w:r w:rsidR="00986864"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8.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 xml:space="preserve"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</w:t>
      </w:r>
      <w:r w:rsidRPr="00986864">
        <w:rPr>
          <w:rFonts w:eastAsia="Calibri"/>
          <w:bCs/>
          <w:sz w:val="28"/>
          <w:szCs w:val="28"/>
        </w:rPr>
        <w:lastRenderedPageBreak/>
        <w:t>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9.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 района Республики Северная Осетия - Алания.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Pr="00986864">
        <w:rPr>
          <w:rFonts w:eastAsia="Calibri"/>
          <w:bCs/>
          <w:sz w:val="28"/>
          <w:szCs w:val="28"/>
        </w:rPr>
        <w:t>0.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 района за администрацией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11.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12.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</w:t>
      </w:r>
      <w:r w:rsidRPr="00986864">
        <w:rPr>
          <w:rFonts w:eastAsia="Calibri"/>
          <w:bCs/>
          <w:sz w:val="28"/>
          <w:szCs w:val="28"/>
        </w:rPr>
        <w:lastRenderedPageBreak/>
        <w:t>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480652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13.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 изменений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в настоящем Решении в случае использования остатков средств бюджета Бесланского гор</w:t>
      </w:r>
      <w:r w:rsidR="006A44E7">
        <w:rPr>
          <w:rFonts w:eastAsia="Calibri"/>
          <w:bCs/>
          <w:sz w:val="28"/>
          <w:szCs w:val="28"/>
        </w:rPr>
        <w:t>одского поселения на 01.01.202</w:t>
      </w:r>
      <w:r w:rsidR="00DE36BC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480652" w:rsidRDefault="00480652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986864" w:rsidRPr="00986864" w:rsidRDefault="00986864" w:rsidP="00A975C7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14.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15. Установить, что в ходе исполнения местного бюджета, администрация местного самоуправления Бесланского городского поселения Правобережного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16. Настоящее Решение подлежит опубликованию (обнародованию). </w:t>
      </w:r>
    </w:p>
    <w:p w:rsidR="00986864" w:rsidRPr="00986864" w:rsidRDefault="00986864" w:rsidP="00986864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 xml:space="preserve">17. Настоящее Решение </w:t>
      </w:r>
      <w:r w:rsidR="006A44E7">
        <w:rPr>
          <w:rFonts w:eastAsia="Calibri"/>
          <w:bCs/>
          <w:sz w:val="28"/>
          <w:szCs w:val="28"/>
        </w:rPr>
        <w:t>вступает в силу с 01 января 202</w:t>
      </w:r>
      <w:r w:rsidR="001A0569"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986864" w:rsidRPr="00986864" w:rsidRDefault="00986864" w:rsidP="00986864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18.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 района Республики Северная Осетия – Алания.</w:t>
      </w:r>
    </w:p>
    <w:p w:rsidR="00986864" w:rsidRPr="00986864" w:rsidRDefault="00986864" w:rsidP="00986864">
      <w:pPr>
        <w:contextualSpacing/>
        <w:rPr>
          <w:rFonts w:eastAsia="Calibri"/>
          <w:bCs/>
          <w:sz w:val="28"/>
          <w:szCs w:val="28"/>
        </w:rPr>
      </w:pPr>
    </w:p>
    <w:p w:rsidR="00005F68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005F68" w:rsidRPr="003F321D" w:rsidRDefault="00005F68" w:rsidP="00005F68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1A0569" w:rsidRPr="001A0569" w:rsidRDefault="001A0569" w:rsidP="001A0569">
      <w:pPr>
        <w:contextualSpacing/>
        <w:rPr>
          <w:rFonts w:eastAsia="Calibri"/>
          <w:b/>
          <w:bCs/>
          <w:sz w:val="28"/>
          <w:szCs w:val="28"/>
        </w:rPr>
      </w:pPr>
      <w:r w:rsidRPr="001A0569">
        <w:rPr>
          <w:rFonts w:eastAsia="Calibri"/>
          <w:b/>
          <w:bCs/>
          <w:sz w:val="28"/>
          <w:szCs w:val="28"/>
        </w:rPr>
        <w:t xml:space="preserve">Глава муниципального образования </w:t>
      </w:r>
    </w:p>
    <w:p w:rsidR="001A0569" w:rsidRDefault="001A0569" w:rsidP="001A0569">
      <w:pPr>
        <w:contextualSpacing/>
        <w:rPr>
          <w:rFonts w:eastAsia="Calibri"/>
          <w:b/>
          <w:bCs/>
        </w:rPr>
      </w:pPr>
      <w:r w:rsidRPr="001A0569">
        <w:rPr>
          <w:rFonts w:eastAsia="Calibri"/>
          <w:b/>
          <w:bCs/>
          <w:sz w:val="28"/>
          <w:szCs w:val="28"/>
        </w:rPr>
        <w:t xml:space="preserve">Бесланского городского поселения  </w:t>
      </w:r>
      <w:r w:rsidRPr="001A0569">
        <w:rPr>
          <w:rFonts w:eastAsia="Calibri"/>
          <w:b/>
          <w:bCs/>
          <w:sz w:val="28"/>
          <w:szCs w:val="28"/>
        </w:rPr>
        <w:tab/>
        <w:t xml:space="preserve">                                     В. Б. </w:t>
      </w:r>
      <w:proofErr w:type="spellStart"/>
      <w:r w:rsidRPr="001A0569">
        <w:rPr>
          <w:rFonts w:eastAsia="Calibri"/>
          <w:b/>
          <w:bCs/>
          <w:sz w:val="28"/>
          <w:szCs w:val="28"/>
        </w:rPr>
        <w:t>Татаров</w:t>
      </w:r>
      <w:proofErr w:type="spellEnd"/>
    </w:p>
    <w:p w:rsidR="00AC07F3" w:rsidRPr="00005F68" w:rsidRDefault="00AC07F3" w:rsidP="001A0569">
      <w:pPr>
        <w:rPr>
          <w:rFonts w:eastAsia="Calibri"/>
          <w:b/>
          <w:bCs/>
          <w:sz w:val="28"/>
          <w:szCs w:val="28"/>
        </w:rPr>
      </w:pPr>
    </w:p>
    <w:sectPr w:rsidR="00AC07F3" w:rsidRPr="0000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14"/>
    <w:rsid w:val="00005F68"/>
    <w:rsid w:val="000168E1"/>
    <w:rsid w:val="00064814"/>
    <w:rsid w:val="0006683E"/>
    <w:rsid w:val="00074917"/>
    <w:rsid w:val="000C6BAE"/>
    <w:rsid w:val="000F225C"/>
    <w:rsid w:val="000F276F"/>
    <w:rsid w:val="001A0569"/>
    <w:rsid w:val="001A38E5"/>
    <w:rsid w:val="002C0EFC"/>
    <w:rsid w:val="002F3F38"/>
    <w:rsid w:val="00320A40"/>
    <w:rsid w:val="003A776B"/>
    <w:rsid w:val="003E67F5"/>
    <w:rsid w:val="00442E4A"/>
    <w:rsid w:val="0044421E"/>
    <w:rsid w:val="00444758"/>
    <w:rsid w:val="004454A8"/>
    <w:rsid w:val="00480652"/>
    <w:rsid w:val="004924DA"/>
    <w:rsid w:val="004C41DA"/>
    <w:rsid w:val="004F2B97"/>
    <w:rsid w:val="005B66DE"/>
    <w:rsid w:val="0060490E"/>
    <w:rsid w:val="00650778"/>
    <w:rsid w:val="006A44E7"/>
    <w:rsid w:val="00704692"/>
    <w:rsid w:val="008B44CC"/>
    <w:rsid w:val="008F03AD"/>
    <w:rsid w:val="00910427"/>
    <w:rsid w:val="00943AAC"/>
    <w:rsid w:val="00945F90"/>
    <w:rsid w:val="00972B6D"/>
    <w:rsid w:val="00986864"/>
    <w:rsid w:val="00A44A14"/>
    <w:rsid w:val="00A5731D"/>
    <w:rsid w:val="00A975C7"/>
    <w:rsid w:val="00AC07F3"/>
    <w:rsid w:val="00B215CF"/>
    <w:rsid w:val="00B8022B"/>
    <w:rsid w:val="00B95E4D"/>
    <w:rsid w:val="00BE065C"/>
    <w:rsid w:val="00BE450D"/>
    <w:rsid w:val="00C4279A"/>
    <w:rsid w:val="00CA28C8"/>
    <w:rsid w:val="00CE4389"/>
    <w:rsid w:val="00CF475C"/>
    <w:rsid w:val="00D62912"/>
    <w:rsid w:val="00D67AA2"/>
    <w:rsid w:val="00DD622A"/>
    <w:rsid w:val="00DE36BC"/>
    <w:rsid w:val="00E111F7"/>
    <w:rsid w:val="00E36111"/>
    <w:rsid w:val="00E6452E"/>
    <w:rsid w:val="00E9376A"/>
    <w:rsid w:val="00FE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4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4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E937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2021-11-12T07:58:00Z</cp:lastPrinted>
  <dcterms:created xsi:type="dcterms:W3CDTF">2023-11-24T13:00:00Z</dcterms:created>
  <dcterms:modified xsi:type="dcterms:W3CDTF">2023-12-12T07:48:00Z</dcterms:modified>
</cp:coreProperties>
</file>