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12A5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  <w:bookmarkStart w:id="0" w:name="_Toc68013797"/>
      <w:bookmarkStart w:id="1" w:name="_Toc68533208"/>
    </w:p>
    <w:p w14:paraId="5AD2E92E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8486E1D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3DB537A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C25222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79C81F1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A31EEE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8A76437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8BC90AE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5076954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3860C11D" w14:textId="77777777" w:rsidR="009B369E" w:rsidRDefault="009B369E">
      <w:pPr>
        <w:spacing w:line="360" w:lineRule="auto"/>
        <w:ind w:firstLine="709"/>
        <w:jc w:val="center"/>
        <w:rPr>
          <w:rFonts w:eastAsia="Calibri" w:cs="Times New Roman"/>
          <w:b/>
          <w:szCs w:val="28"/>
        </w:rPr>
      </w:pPr>
    </w:p>
    <w:p w14:paraId="72DD4A47" w14:textId="77777777" w:rsidR="009B369E" w:rsidRDefault="006D271D">
      <w:pPr>
        <w:spacing w:line="360" w:lineRule="auto"/>
        <w:jc w:val="center"/>
        <w:rPr>
          <w:rFonts w:cs="Times New Roman"/>
          <w:b/>
          <w:szCs w:val="28"/>
        </w:rPr>
      </w:pPr>
      <w:r>
        <w:rPr>
          <w:rFonts w:eastAsia="Calibri" w:cs="Times New Roman"/>
          <w:b/>
          <w:szCs w:val="28"/>
        </w:rPr>
        <w:t>ПРОЕКТ ГЕНЕРАЛЬНОГО ПЛАНА</w:t>
      </w:r>
    </w:p>
    <w:p w14:paraId="2E777058" w14:textId="77777777" w:rsidR="009B369E" w:rsidRDefault="006D271D">
      <w:pPr>
        <w:spacing w:line="360" w:lineRule="auto"/>
        <w:jc w:val="center"/>
        <w:rPr>
          <w:rFonts w:eastAsia="Calibri" w:cs="Times New Roman"/>
          <w:szCs w:val="28"/>
        </w:rPr>
      </w:pPr>
      <w:r>
        <w:rPr>
          <w:rFonts w:cs="Times New Roman"/>
          <w:b/>
          <w:szCs w:val="28"/>
        </w:rPr>
        <w:t>ГОРОДА БЕСЛАН</w:t>
      </w:r>
    </w:p>
    <w:p w14:paraId="371D9ED6" w14:textId="77777777" w:rsidR="009B369E" w:rsidRDefault="006D271D">
      <w:pPr>
        <w:spacing w:line="360" w:lineRule="auto"/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ТОМ </w:t>
      </w:r>
      <w:r>
        <w:rPr>
          <w:rFonts w:eastAsia="Calibri" w:cs="Times New Roman"/>
          <w:b/>
          <w:szCs w:val="28"/>
          <w:lang w:val="en-US"/>
        </w:rPr>
        <w:t>II</w:t>
      </w:r>
    </w:p>
    <w:p w14:paraId="06633A6F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МАТЕРИАЛЫ ПО ОБОСНОВАНИЮ ГЕНЕРАЛЬНОГО ПЛАНА</w:t>
      </w:r>
    </w:p>
    <w:p w14:paraId="27C55AC4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(Обосновывающая часть)</w:t>
      </w:r>
    </w:p>
    <w:p w14:paraId="5937CBA5" w14:textId="77777777" w:rsidR="009B369E" w:rsidRDefault="006D271D">
      <w:pPr>
        <w:spacing w:line="36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>
        <w:rPr>
          <w:rFonts w:cs="Times New Roman"/>
          <w:b/>
          <w:sz w:val="32"/>
          <w:szCs w:val="32"/>
        </w:rPr>
        <w:br w:type="column"/>
      </w:r>
      <w:bookmarkStart w:id="2" w:name="_Hlk69475184"/>
      <w:r>
        <w:rPr>
          <w:rFonts w:eastAsia="Calibri" w:cs="Times New Roman"/>
          <w:b/>
          <w:sz w:val="32"/>
          <w:szCs w:val="32"/>
        </w:rPr>
        <w:lastRenderedPageBreak/>
        <w:t>ООО «КАДАСТР»</w:t>
      </w:r>
    </w:p>
    <w:p w14:paraId="4C8C6CDB" w14:textId="77777777" w:rsidR="009B369E" w:rsidRDefault="009B369E">
      <w:pPr>
        <w:spacing w:line="360" w:lineRule="auto"/>
        <w:rPr>
          <w:rFonts w:eastAsia="Times New Roman" w:cs="Times New Roman"/>
          <w:b/>
          <w:sz w:val="24"/>
          <w:szCs w:val="28"/>
          <w:lang w:eastAsia="ru-RU"/>
        </w:rPr>
      </w:pPr>
    </w:p>
    <w:tbl>
      <w:tblPr>
        <w:tblStyle w:val="af"/>
        <w:tblW w:w="10055" w:type="dxa"/>
        <w:tblInd w:w="-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5072"/>
      </w:tblGrid>
      <w:tr w:rsidR="009B369E" w14:paraId="644DC10D" w14:textId="77777777">
        <w:trPr>
          <w:trHeight w:val="2040"/>
        </w:trPr>
        <w:tc>
          <w:tcPr>
            <w:tcW w:w="4983" w:type="dxa"/>
          </w:tcPr>
          <w:p w14:paraId="4238E753" w14:textId="77777777" w:rsidR="009B369E" w:rsidRDefault="006D271D">
            <w:pPr>
              <w:spacing w:after="160" w:line="360" w:lineRule="auto"/>
              <w:jc w:val="left"/>
              <w:rPr>
                <w:rFonts w:cs="Times New Roman"/>
                <w:b/>
                <w:sz w:val="24"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  <w:lang w:eastAsia="ru-RU"/>
              </w:rPr>
              <w:t>Заказчик:</w:t>
            </w:r>
          </w:p>
        </w:tc>
        <w:tc>
          <w:tcPr>
            <w:tcW w:w="5072" w:type="dxa"/>
          </w:tcPr>
          <w:p w14:paraId="1C0F25DC" w14:textId="77777777" w:rsidR="009B369E" w:rsidRDefault="006D271D">
            <w:pPr>
              <w:spacing w:after="160" w:line="360" w:lineRule="auto"/>
              <w:contextualSpacing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Администрация местного самоуправления Бесланского городского поселения Правобережного района </w:t>
            </w:r>
          </w:p>
          <w:p w14:paraId="0C2C2013" w14:textId="77777777" w:rsidR="009B369E" w:rsidRDefault="006D271D">
            <w:pPr>
              <w:spacing w:after="160" w:line="360" w:lineRule="auto"/>
              <w:contextualSpacing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РСО-Алания</w:t>
            </w:r>
          </w:p>
          <w:p w14:paraId="13D72065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  <w:p w14:paraId="3F026B9A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  <w:p w14:paraId="5AE6D387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B369E" w14:paraId="5D521501" w14:textId="77777777">
        <w:trPr>
          <w:trHeight w:val="473"/>
        </w:trPr>
        <w:tc>
          <w:tcPr>
            <w:tcW w:w="4983" w:type="dxa"/>
          </w:tcPr>
          <w:p w14:paraId="15F3F5DA" w14:textId="77777777" w:rsidR="009B369E" w:rsidRDefault="006D271D">
            <w:pPr>
              <w:spacing w:after="160" w:line="360" w:lineRule="auto"/>
              <w:rPr>
                <w:rFonts w:cs="Times New Roman"/>
                <w:b/>
                <w:sz w:val="24"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  <w:lang w:eastAsia="ru-RU"/>
              </w:rPr>
              <w:t>Договор:</w:t>
            </w:r>
          </w:p>
        </w:tc>
        <w:tc>
          <w:tcPr>
            <w:tcW w:w="5072" w:type="dxa"/>
          </w:tcPr>
          <w:p w14:paraId="4B2B75C6" w14:textId="77777777" w:rsidR="009B369E" w:rsidRDefault="006D271D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№______________ от ____________</w:t>
            </w:r>
          </w:p>
        </w:tc>
      </w:tr>
    </w:tbl>
    <w:p w14:paraId="30FCACAB" w14:textId="77777777" w:rsidR="009B369E" w:rsidRDefault="009B369E">
      <w:pPr>
        <w:spacing w:line="360" w:lineRule="auto"/>
        <w:rPr>
          <w:rFonts w:eastAsia="Times New Roman" w:cs="Times New Roman"/>
          <w:b/>
          <w:sz w:val="24"/>
          <w:szCs w:val="28"/>
          <w:lang w:eastAsia="ru-RU"/>
        </w:rPr>
      </w:pPr>
    </w:p>
    <w:p w14:paraId="6878E5C6" w14:textId="77777777" w:rsidR="009B369E" w:rsidRDefault="009B369E">
      <w:pPr>
        <w:spacing w:line="360" w:lineRule="auto"/>
        <w:rPr>
          <w:rFonts w:eastAsia="Times New Roman" w:cs="Times New Roman"/>
          <w:b/>
          <w:color w:val="244061"/>
          <w:sz w:val="24"/>
          <w:szCs w:val="28"/>
          <w:lang w:eastAsia="ru-RU"/>
        </w:rPr>
      </w:pPr>
    </w:p>
    <w:p w14:paraId="0113CBFA" w14:textId="77777777" w:rsidR="009B369E" w:rsidRDefault="009B369E">
      <w:pPr>
        <w:spacing w:line="360" w:lineRule="auto"/>
        <w:rPr>
          <w:rFonts w:eastAsia="Times New Roman" w:cs="Times New Roman"/>
          <w:color w:val="244061"/>
          <w:sz w:val="24"/>
          <w:szCs w:val="28"/>
          <w:lang w:eastAsia="ru-RU"/>
        </w:rPr>
      </w:pPr>
    </w:p>
    <w:p w14:paraId="6F84F0A3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bookmarkStart w:id="3" w:name="_Hlk69475223"/>
      <w:r>
        <w:rPr>
          <w:rFonts w:eastAsia="Calibri" w:cs="Times New Roman"/>
          <w:b/>
        </w:rPr>
        <w:t>ГЕНЕРАЛЬНЫЙ ПЛАН</w:t>
      </w:r>
    </w:p>
    <w:p w14:paraId="5A108D9B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Бесланского городского поселения</w:t>
      </w:r>
      <w:bookmarkEnd w:id="3"/>
    </w:p>
    <w:p w14:paraId="48156A5F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ТОМ </w:t>
      </w:r>
      <w:r>
        <w:rPr>
          <w:rFonts w:eastAsia="Calibri" w:cs="Times New Roman"/>
          <w:b/>
          <w:szCs w:val="28"/>
          <w:lang w:val="en-US"/>
        </w:rPr>
        <w:t>II</w:t>
      </w:r>
    </w:p>
    <w:p w14:paraId="789E8A09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МАТЕРИАЛЫ ПО ОБОСНОВАНИЮ</w:t>
      </w:r>
    </w:p>
    <w:p w14:paraId="75227F11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ГЕНЕРАЛЬНОГО ПЛАНА</w:t>
      </w:r>
    </w:p>
    <w:p w14:paraId="47719C7F" w14:textId="77777777" w:rsidR="009B369E" w:rsidRDefault="006D271D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ab/>
      </w:r>
    </w:p>
    <w:p w14:paraId="6C8D8E93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0DA38076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5483E770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635292D8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71D85C88" w14:textId="77777777" w:rsidR="009B369E" w:rsidRDefault="006D271D">
      <w:pPr>
        <w:spacing w:line="360" w:lineRule="auto"/>
        <w:jc w:val="center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Владикавказ, 2021</w:t>
      </w:r>
      <w:bookmarkEnd w:id="2"/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4289"/>
        <w:gridCol w:w="5056"/>
      </w:tblGrid>
      <w:tr w:rsidR="009B369E" w14:paraId="60A6E61C" w14:textId="77777777">
        <w:tc>
          <w:tcPr>
            <w:tcW w:w="4289" w:type="dxa"/>
            <w:shd w:val="clear" w:color="auto" w:fill="76BD89"/>
            <w:vAlign w:val="center"/>
          </w:tcPr>
          <w:p w14:paraId="1462B51C" w14:textId="77777777" w:rsidR="009B369E" w:rsidRDefault="006D271D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br w:type="column"/>
            </w:r>
            <w:r>
              <w:rPr>
                <w:rFonts w:ascii="Times New Roman" w:hAnsi="Times New Roman" w:cs="Times New Roman"/>
              </w:rPr>
              <w:br w:type="page"/>
            </w:r>
            <w:bookmarkStart w:id="4" w:name="_Toc88723894"/>
            <w:r>
              <w:rPr>
                <w:rFonts w:ascii="Times New Roman" w:hAnsi="Times New Roman" w:cs="Times New Roman"/>
                <w:sz w:val="28"/>
                <w:szCs w:val="28"/>
              </w:rPr>
              <w:t>АВТОРСКИЙ КОЛЛЕКТИВ</w:t>
            </w:r>
            <w:bookmarkEnd w:id="4"/>
          </w:p>
        </w:tc>
        <w:tc>
          <w:tcPr>
            <w:tcW w:w="5056" w:type="dxa"/>
            <w:shd w:val="clear" w:color="auto" w:fill="76BD89"/>
          </w:tcPr>
          <w:p w14:paraId="29CAB5A3" w14:textId="77777777" w:rsidR="009B369E" w:rsidRDefault="009B369E">
            <w:pPr>
              <w:pStyle w:val="1"/>
              <w:spacing w:line="36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14:paraId="7DD6AD57" w14:textId="77777777" w:rsidR="009B369E" w:rsidRDefault="009B369E">
      <w:pPr>
        <w:spacing w:line="360" w:lineRule="auto"/>
        <w:ind w:firstLine="709"/>
        <w:rPr>
          <w:rFonts w:cs="Times New Roman"/>
          <w:sz w:val="48"/>
          <w:szCs w:val="48"/>
        </w:rPr>
      </w:pPr>
    </w:p>
    <w:p w14:paraId="2FC4D566" w14:textId="77777777" w:rsidR="009B369E" w:rsidRDefault="009B369E">
      <w:pPr>
        <w:spacing w:line="360" w:lineRule="auto"/>
        <w:ind w:firstLine="709"/>
        <w:rPr>
          <w:rFonts w:cs="Times New Roman"/>
          <w:sz w:val="48"/>
          <w:szCs w:val="48"/>
        </w:rPr>
      </w:pPr>
    </w:p>
    <w:tbl>
      <w:tblPr>
        <w:tblW w:w="4432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4952"/>
        <w:gridCol w:w="3323"/>
      </w:tblGrid>
      <w:tr w:rsidR="009B369E" w14:paraId="6C784D58" w14:textId="77777777">
        <w:trPr>
          <w:trHeight w:val="407"/>
          <w:jc w:val="center"/>
        </w:trPr>
        <w:tc>
          <w:tcPr>
            <w:tcW w:w="2992" w:type="pct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76BD89"/>
            <w:vAlign w:val="center"/>
          </w:tcPr>
          <w:p w14:paraId="2D3B6806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Генеральный директор</w:t>
            </w:r>
          </w:p>
        </w:tc>
        <w:tc>
          <w:tcPr>
            <w:tcW w:w="2008" w:type="pct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76BD89"/>
            <w:vAlign w:val="center"/>
          </w:tcPr>
          <w:p w14:paraId="5B1269F9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А.Р. </w:t>
            </w:r>
            <w:proofErr w:type="spellStart"/>
            <w:r>
              <w:rPr>
                <w:rFonts w:cs="Times New Roman"/>
                <w:b/>
                <w:szCs w:val="28"/>
              </w:rPr>
              <w:t>Авлохов</w:t>
            </w:r>
            <w:proofErr w:type="spellEnd"/>
          </w:p>
        </w:tc>
      </w:tr>
      <w:tr w:rsidR="009B369E" w14:paraId="085E02D1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5E3C2BA4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Начальник отдела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45632A63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М.С. Дреев</w:t>
            </w:r>
          </w:p>
        </w:tc>
      </w:tr>
      <w:tr w:rsidR="009B369E" w14:paraId="466102A7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199EC027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Кадастровый инженер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7A3E62CB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М.С. Дреев</w:t>
            </w:r>
          </w:p>
        </w:tc>
      </w:tr>
      <w:tr w:rsidR="009B369E" w14:paraId="2B29D251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12AF92B8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Инженер-картограф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749C4C58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П. В. </w:t>
            </w:r>
            <w:proofErr w:type="spellStart"/>
            <w:r>
              <w:rPr>
                <w:rFonts w:cs="Times New Roman"/>
                <w:szCs w:val="28"/>
              </w:rPr>
              <w:t>Чернуцкая</w:t>
            </w:r>
            <w:proofErr w:type="spellEnd"/>
          </w:p>
        </w:tc>
      </w:tr>
      <w:tr w:rsidR="009B369E" w14:paraId="2A7CB2FB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7E763B1F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Инженер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18C72254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З. З. </w:t>
            </w:r>
            <w:proofErr w:type="spellStart"/>
            <w:r>
              <w:rPr>
                <w:rFonts w:cs="Times New Roman"/>
                <w:szCs w:val="28"/>
              </w:rPr>
              <w:t>Кодзаева</w:t>
            </w:r>
            <w:proofErr w:type="spellEnd"/>
          </w:p>
        </w:tc>
      </w:tr>
    </w:tbl>
    <w:p w14:paraId="0CEAFF15" w14:textId="77777777" w:rsidR="009B369E" w:rsidRDefault="009B369E">
      <w:pPr>
        <w:spacing w:line="360" w:lineRule="auto"/>
        <w:ind w:firstLine="709"/>
        <w:rPr>
          <w:rFonts w:eastAsiaTheme="majorEastAsia" w:cs="Times New Roman"/>
          <w:color w:val="2E74B5"/>
          <w:sz w:val="32"/>
          <w:szCs w:val="32"/>
        </w:rPr>
      </w:pPr>
    </w:p>
    <w:p w14:paraId="2E488F70" w14:textId="77777777" w:rsidR="009B369E" w:rsidRDefault="006D271D">
      <w:pPr>
        <w:spacing w:line="360" w:lineRule="auto"/>
        <w:ind w:firstLine="709"/>
        <w:rPr>
          <w:rFonts w:eastAsiaTheme="majorEastAsia" w:cs="Times New Roman"/>
          <w:color w:val="2E74B5"/>
          <w:sz w:val="32"/>
          <w:szCs w:val="32"/>
        </w:rPr>
      </w:pPr>
      <w:r>
        <w:rPr>
          <w:rFonts w:cs="Times New Roman"/>
        </w:rPr>
        <w:br w:type="page"/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3040"/>
        <w:gridCol w:w="6305"/>
      </w:tblGrid>
      <w:tr w:rsidR="009B369E" w14:paraId="3FB69471" w14:textId="77777777">
        <w:tc>
          <w:tcPr>
            <w:tcW w:w="3085" w:type="dxa"/>
            <w:shd w:val="clear" w:color="auto" w:fill="76BD89"/>
            <w:vAlign w:val="center"/>
          </w:tcPr>
          <w:p w14:paraId="30B3881E" w14:textId="77777777" w:rsidR="009B369E" w:rsidRDefault="006D271D">
            <w:pPr>
              <w:pStyle w:val="1"/>
              <w:spacing w:line="36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Toc88723895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ПРОЕКТА</w:t>
            </w:r>
            <w:bookmarkEnd w:id="5"/>
          </w:p>
        </w:tc>
        <w:tc>
          <w:tcPr>
            <w:tcW w:w="6484" w:type="dxa"/>
            <w:shd w:val="clear" w:color="auto" w:fill="76BD89"/>
          </w:tcPr>
          <w:p w14:paraId="7279A4DD" w14:textId="77777777" w:rsidR="009B369E" w:rsidRDefault="009B369E">
            <w:pPr>
              <w:pStyle w:val="1"/>
              <w:spacing w:line="36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14:paraId="5A698B17" w14:textId="77777777" w:rsidR="009B369E" w:rsidRDefault="009B369E">
      <w:pPr>
        <w:spacing w:line="360" w:lineRule="auto"/>
        <w:ind w:firstLine="709"/>
        <w:rPr>
          <w:rFonts w:cs="Times New Roman"/>
          <w:b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8"/>
        <w:gridCol w:w="5065"/>
        <w:gridCol w:w="2373"/>
      </w:tblGrid>
      <w:tr w:rsidR="009B369E" w14:paraId="379BDFFC" w14:textId="77777777">
        <w:tc>
          <w:tcPr>
            <w:tcW w:w="1025" w:type="pct"/>
            <w:shd w:val="clear" w:color="auto" w:fill="C9C9C9" w:themeFill="accent3" w:themeFillTint="99"/>
            <w:vAlign w:val="center"/>
          </w:tcPr>
          <w:p w14:paraId="1E09DB9B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Обозначения</w:t>
            </w:r>
          </w:p>
        </w:tc>
        <w:tc>
          <w:tcPr>
            <w:tcW w:w="2707" w:type="pct"/>
            <w:shd w:val="clear" w:color="auto" w:fill="C9C9C9" w:themeFill="accent3" w:themeFillTint="99"/>
            <w:vAlign w:val="center"/>
          </w:tcPr>
          <w:p w14:paraId="7B3A9283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Наименование</w:t>
            </w:r>
          </w:p>
        </w:tc>
        <w:tc>
          <w:tcPr>
            <w:tcW w:w="1268" w:type="pct"/>
            <w:shd w:val="clear" w:color="auto" w:fill="C9C9C9" w:themeFill="accent3" w:themeFillTint="99"/>
            <w:vAlign w:val="center"/>
          </w:tcPr>
          <w:p w14:paraId="11139731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Примечание</w:t>
            </w:r>
          </w:p>
        </w:tc>
      </w:tr>
      <w:tr w:rsidR="009B369E" w14:paraId="0DC6BE7D" w14:textId="77777777">
        <w:tc>
          <w:tcPr>
            <w:tcW w:w="1025" w:type="pct"/>
            <w:shd w:val="clear" w:color="auto" w:fill="DBDBDB" w:themeFill="accent3" w:themeFillTint="66"/>
            <w:vAlign w:val="center"/>
          </w:tcPr>
          <w:p w14:paraId="71EC8E5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ПЗ</w:t>
            </w:r>
          </w:p>
        </w:tc>
        <w:tc>
          <w:tcPr>
            <w:tcW w:w="2707" w:type="pct"/>
            <w:shd w:val="clear" w:color="auto" w:fill="DBDBDB" w:themeFill="accent3" w:themeFillTint="66"/>
            <w:vAlign w:val="center"/>
          </w:tcPr>
          <w:p w14:paraId="1B1D06CF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Текстовая часть</w:t>
            </w:r>
          </w:p>
          <w:p w14:paraId="439AE208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Пояснительная записка</w:t>
            </w:r>
          </w:p>
        </w:tc>
        <w:tc>
          <w:tcPr>
            <w:tcW w:w="1268" w:type="pct"/>
            <w:shd w:val="clear" w:color="auto" w:fill="DBDBDB" w:themeFill="accent3" w:themeFillTint="66"/>
            <w:vAlign w:val="center"/>
          </w:tcPr>
          <w:p w14:paraId="27DE148A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9B369E" w14:paraId="063A9591" w14:textId="77777777">
        <w:tc>
          <w:tcPr>
            <w:tcW w:w="1025" w:type="pct"/>
            <w:shd w:val="clear" w:color="auto" w:fill="auto"/>
            <w:vAlign w:val="center"/>
          </w:tcPr>
          <w:p w14:paraId="1C86786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ПЗ - 1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DC6140E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 1. ПОЛОЖЕНИЕ О ТЕРРИТОРИАЛЬНОМ ПЛАНИРОВАНИИ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2FC5AF7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9B369E" w14:paraId="436A906A" w14:textId="77777777">
        <w:trPr>
          <w:trHeight w:val="489"/>
        </w:trPr>
        <w:tc>
          <w:tcPr>
            <w:tcW w:w="1025" w:type="pct"/>
            <w:shd w:val="clear" w:color="auto" w:fill="auto"/>
            <w:vAlign w:val="center"/>
          </w:tcPr>
          <w:p w14:paraId="10889B5E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ПЗ - 2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3BD27C2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 2. МАТЕРИАЛЫ ПО ОБОСНОВАНИЮ ПРОЕКТА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AAB29A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9B369E" w14:paraId="76CC0F11" w14:textId="77777777">
        <w:tc>
          <w:tcPr>
            <w:tcW w:w="1025" w:type="pct"/>
            <w:shd w:val="clear" w:color="auto" w:fill="DBDBDB" w:themeFill="accent3" w:themeFillTint="66"/>
            <w:vAlign w:val="center"/>
          </w:tcPr>
          <w:p w14:paraId="6A32FFA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ГЧ - 1</w:t>
            </w:r>
          </w:p>
        </w:tc>
        <w:tc>
          <w:tcPr>
            <w:tcW w:w="2707" w:type="pct"/>
            <w:shd w:val="clear" w:color="auto" w:fill="DBDBDB" w:themeFill="accent3" w:themeFillTint="66"/>
            <w:vAlign w:val="center"/>
          </w:tcPr>
          <w:p w14:paraId="4187B9DC" w14:textId="77777777" w:rsidR="009B369E" w:rsidRDefault="006D271D">
            <w:pPr>
              <w:spacing w:line="360" w:lineRule="auto"/>
              <w:contextualSpacing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1268" w:type="pct"/>
            <w:shd w:val="clear" w:color="auto" w:fill="DBDBDB" w:themeFill="accent3" w:themeFillTint="66"/>
            <w:vAlign w:val="center"/>
          </w:tcPr>
          <w:p w14:paraId="0EF20C3C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9B369E" w14:paraId="0DA3537D" w14:textId="77777777">
        <w:tc>
          <w:tcPr>
            <w:tcW w:w="1025" w:type="pct"/>
            <w:shd w:val="clear" w:color="auto" w:fill="auto"/>
            <w:vAlign w:val="center"/>
          </w:tcPr>
          <w:p w14:paraId="0D6B0500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DAB945C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ПЛАНИРУЕМОГО РАЗМЕЩЕНИЯ ОБЪЕКТОВ МЕСТНОГО ЗНАЧЕНИЯ 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A67729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25C738E8" w14:textId="77777777">
        <w:tc>
          <w:tcPr>
            <w:tcW w:w="1025" w:type="pct"/>
            <w:shd w:val="clear" w:color="auto" w:fill="auto"/>
            <w:vAlign w:val="center"/>
          </w:tcPr>
          <w:p w14:paraId="4DC68CF8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51AE687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ГРАНИЦ 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040A9A1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BB2242D" w14:textId="77777777">
        <w:tc>
          <w:tcPr>
            <w:tcW w:w="1025" w:type="pct"/>
            <w:shd w:val="clear" w:color="auto" w:fill="auto"/>
            <w:vAlign w:val="center"/>
          </w:tcPr>
          <w:p w14:paraId="66DEE51C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3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1008524B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A49C909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0FC79968" w14:textId="77777777">
        <w:tc>
          <w:tcPr>
            <w:tcW w:w="1025" w:type="pct"/>
            <w:shd w:val="clear" w:color="auto" w:fill="auto"/>
            <w:vAlign w:val="center"/>
          </w:tcPr>
          <w:p w14:paraId="2C22BE3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4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4BE93FF1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ПЛАНИРУЕМОГО РАЗМЕЩЕНИЯ ОБЪЕКТОВ ТРАНСПОРТНОЙ ИНФРАСТРУКТУРЫ И АВТОМОБИЛЬНЫХ ДОРОГ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4E46DE36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1DAFC7AF" w14:textId="77777777">
        <w:tc>
          <w:tcPr>
            <w:tcW w:w="1025" w:type="pct"/>
            <w:shd w:val="clear" w:color="auto" w:fill="D9D9D9" w:themeFill="background1" w:themeFillShade="D9"/>
            <w:vAlign w:val="center"/>
          </w:tcPr>
          <w:p w14:paraId="7754F1C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ГЧ - 2</w:t>
            </w:r>
          </w:p>
        </w:tc>
        <w:tc>
          <w:tcPr>
            <w:tcW w:w="2707" w:type="pct"/>
            <w:shd w:val="clear" w:color="auto" w:fill="D9D9D9" w:themeFill="background1" w:themeFillShade="D9"/>
            <w:vAlign w:val="center"/>
          </w:tcPr>
          <w:p w14:paraId="10CD99E6" w14:textId="77777777" w:rsidR="009B369E" w:rsidRDefault="006D271D">
            <w:pPr>
              <w:spacing w:line="360" w:lineRule="auto"/>
              <w:contextualSpacing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1268" w:type="pct"/>
            <w:shd w:val="clear" w:color="auto" w:fill="D9D9D9" w:themeFill="background1" w:themeFillShade="D9"/>
            <w:vAlign w:val="center"/>
          </w:tcPr>
          <w:p w14:paraId="3A95BE3C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color w:val="FF0000"/>
                <w:szCs w:val="24"/>
              </w:rPr>
            </w:pPr>
          </w:p>
        </w:tc>
      </w:tr>
      <w:tr w:rsidR="009B369E" w14:paraId="56DE56A8" w14:textId="77777777">
        <w:tc>
          <w:tcPr>
            <w:tcW w:w="1025" w:type="pct"/>
            <w:shd w:val="clear" w:color="auto" w:fill="auto"/>
            <w:vAlign w:val="center"/>
          </w:tcPr>
          <w:p w14:paraId="7B8C4DC7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Лист 5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090B6E4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ГРАНИЦ ЗОН С ОСОБЫМИ УСЛОВИЯМИ ИСПОЛЬЗОВАНИЯ ТЕРРИТОРИЙ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5AC51C5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4FEAD2C" w14:textId="77777777">
        <w:tc>
          <w:tcPr>
            <w:tcW w:w="1025" w:type="pct"/>
            <w:shd w:val="clear" w:color="auto" w:fill="auto"/>
            <w:vAlign w:val="center"/>
          </w:tcPr>
          <w:p w14:paraId="2AAF4552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6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21032FE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251BE50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596FB23C" w14:textId="77777777">
        <w:tc>
          <w:tcPr>
            <w:tcW w:w="1025" w:type="pct"/>
            <w:shd w:val="clear" w:color="auto" w:fill="auto"/>
            <w:vAlign w:val="center"/>
          </w:tcPr>
          <w:p w14:paraId="19464DF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7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92A0CE5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ВОДОСНАБЖЕНИЯ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D3D72F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22DDCC7D" w14:textId="77777777">
        <w:tc>
          <w:tcPr>
            <w:tcW w:w="1025" w:type="pct"/>
            <w:shd w:val="clear" w:color="auto" w:fill="auto"/>
            <w:vAlign w:val="center"/>
          </w:tcPr>
          <w:p w14:paraId="2D159F75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8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193286B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ВОДООТВЕДЕНИЯ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75824D56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552C94A7" w14:textId="77777777">
        <w:tc>
          <w:tcPr>
            <w:tcW w:w="1025" w:type="pct"/>
            <w:shd w:val="clear" w:color="auto" w:fill="auto"/>
            <w:vAlign w:val="center"/>
          </w:tcPr>
          <w:p w14:paraId="31FA8EC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9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7444716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ЭНЕРГОСНАБЖЕНИЯ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00BFB26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3EBEDFAB" w14:textId="77777777">
        <w:tc>
          <w:tcPr>
            <w:tcW w:w="1025" w:type="pct"/>
            <w:shd w:val="clear" w:color="auto" w:fill="auto"/>
            <w:vAlign w:val="center"/>
          </w:tcPr>
          <w:p w14:paraId="2A4FA615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10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4CA349A5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ТЕПЛОСНАБЖЕНИЯ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F4D2CDD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30ECD117" w14:textId="77777777">
        <w:trPr>
          <w:trHeight w:val="660"/>
        </w:trPr>
        <w:tc>
          <w:tcPr>
            <w:tcW w:w="1025" w:type="pct"/>
            <w:shd w:val="clear" w:color="auto" w:fill="auto"/>
            <w:vAlign w:val="center"/>
          </w:tcPr>
          <w:p w14:paraId="3B97849A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EC6EDD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ГАЗОСНАБЖЕНИЯ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709F78DE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4CC4DE26" w14:textId="77777777">
        <w:tc>
          <w:tcPr>
            <w:tcW w:w="1025" w:type="pct"/>
            <w:shd w:val="clear" w:color="auto" w:fill="auto"/>
            <w:vAlign w:val="center"/>
          </w:tcPr>
          <w:p w14:paraId="081E1D5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0657B4F3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ТРАНСПОРТНОГО КАРКАСА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DC57FCD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04A0530" w14:textId="77777777">
        <w:tc>
          <w:tcPr>
            <w:tcW w:w="1025" w:type="pct"/>
            <w:shd w:val="clear" w:color="auto" w:fill="auto"/>
            <w:vAlign w:val="center"/>
          </w:tcPr>
          <w:p w14:paraId="378B2941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13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70BA6718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ПЛАНИРОВОЧНОГО КАРКАСА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3A1204A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4BF25AEC" w14:textId="77777777">
        <w:tc>
          <w:tcPr>
            <w:tcW w:w="1025" w:type="pct"/>
            <w:shd w:val="clear" w:color="auto" w:fill="auto"/>
            <w:vAlign w:val="center"/>
          </w:tcPr>
          <w:p w14:paraId="12B5DFF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14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65D3B20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ТЕРРИТОРИЙ ОБЪЕКТОВ КУЛЬТУРНОГО НАСЛЕДИЯ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1B2304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2554176" w14:textId="77777777">
        <w:trPr>
          <w:trHeight w:val="643"/>
        </w:trPr>
        <w:tc>
          <w:tcPr>
            <w:tcW w:w="1025" w:type="pct"/>
            <w:vMerge w:val="restart"/>
            <w:shd w:val="clear" w:color="FFFFFF" w:fill="FFFFFF"/>
            <w:vAlign w:val="center"/>
          </w:tcPr>
          <w:p w14:paraId="2B96EEB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Лист 15</w:t>
            </w: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2707" w:type="pct"/>
            <w:vMerge w:val="restart"/>
            <w:shd w:val="clear" w:color="FFFFFF" w:fill="FFFFFF"/>
            <w:vAlign w:val="center"/>
          </w:tcPr>
          <w:p w14:paraId="5851D526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МЕСТОРОЖДЕНИЙ И ПРОЯВЛЕНИЙ ПОЛЕЗНЫХ ИСКОПАЕМЫХ</w:t>
            </w: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1268" w:type="pct"/>
            <w:vMerge w:val="restart"/>
            <w:shd w:val="clear" w:color="FFFFFF" w:fill="FFFFFF"/>
            <w:vAlign w:val="center"/>
          </w:tcPr>
          <w:p w14:paraId="566B02B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</w:tbl>
    <w:p w14:paraId="7BBD312B" w14:textId="77777777" w:rsidR="009B369E" w:rsidRDefault="009B369E"/>
    <w:p w14:paraId="24142EA4" w14:textId="77777777" w:rsidR="009B369E" w:rsidRDefault="006D271D">
      <w:pPr>
        <w:spacing w:line="259" w:lineRule="auto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2004008223"/>
        <w:docPartObj>
          <w:docPartGallery w:val="Table of Contents"/>
          <w:docPartUnique/>
        </w:docPartObj>
      </w:sdtPr>
      <w:sdtEndPr/>
      <w:sdtContent>
        <w:p w14:paraId="354E1256" w14:textId="77777777" w:rsidR="009B369E" w:rsidRDefault="006D271D">
          <w:pPr>
            <w:pStyle w:val="af3"/>
            <w:spacing w:line="360" w:lineRule="auto"/>
            <w:ind w:firstLine="709"/>
            <w:rPr>
              <w:rFonts w:ascii="Times New Roman" w:hAnsi="Times New Roman" w:cs="Times New Roman"/>
              <w:sz w:val="40"/>
              <w:szCs w:val="40"/>
              <w:lang w:eastAsia="en-US"/>
            </w:rPr>
          </w:pPr>
          <w:r>
            <w:rPr>
              <w:rFonts w:ascii="Times New Roman" w:hAnsi="Times New Roman" w:cs="Times New Roman"/>
              <w:sz w:val="40"/>
              <w:szCs w:val="40"/>
              <w:lang w:eastAsia="en-US"/>
            </w:rPr>
            <w:t>Содержание</w:t>
          </w:r>
        </w:p>
        <w:p w14:paraId="0F222F08" w14:textId="77777777" w:rsidR="009B369E" w:rsidRDefault="009B369E">
          <w:pPr>
            <w:spacing w:line="360" w:lineRule="auto"/>
            <w:ind w:firstLine="709"/>
            <w:rPr>
              <w:rFonts w:cs="Times New Roman"/>
              <w:lang w:eastAsia="ru-RU"/>
            </w:rPr>
          </w:pPr>
        </w:p>
        <w:p w14:paraId="2D730BD1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anchor="_Toc88723894" w:tooltip="#_Toc88723894" w:history="1">
            <w:r>
              <w:rPr>
                <w:rStyle w:val="af4"/>
                <w:rFonts w:cs="Times New Roman"/>
              </w:rPr>
              <w:t>АВТОРСКИЙ КОЛЛЕКТИВ</w:t>
            </w:r>
            <w:r>
              <w:tab/>
            </w:r>
            <w:r>
              <w:fldChar w:fldCharType="begin"/>
            </w:r>
            <w:r>
              <w:instrText xml:space="preserve"> PAGEREF _Toc88723894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1991676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5" w:tooltip="#_Toc88723895" w:history="1">
            <w:r w:rsidR="006D271D">
              <w:rPr>
                <w:rStyle w:val="af4"/>
                <w:rFonts w:cs="Times New Roman"/>
              </w:rPr>
              <w:t>СОСТАВ ПРОЕКТА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_Toc88723895 \h </w:instrText>
            </w:r>
            <w:r w:rsidR="006D271D">
              <w:fldChar w:fldCharType="separate"/>
            </w:r>
            <w:r w:rsidR="006D271D">
              <w:t>4</w:t>
            </w:r>
            <w:r w:rsidR="006D271D">
              <w:fldChar w:fldCharType="end"/>
            </w:r>
          </w:hyperlink>
        </w:p>
        <w:p w14:paraId="58FF75EC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6" w:tooltip="#_Toc88723896" w:history="1">
            <w:r w:rsidR="006D271D">
              <w:rPr>
                <w:rStyle w:val="af4"/>
                <w:rFonts w:ascii="Arial Narrow" w:hAnsi="Arial Narrow"/>
              </w:rPr>
              <w:t>РАЗДЕЛ 1. СВЕДЕНИЯ ОБ УТВЕРЖДЕННЫХ ДОКУМЕНТАХ СТРАТЕГИЧЕСКОГО ПЛАНИРОВАНИЯ, НАЦИОНАЛЬНЫХ ПРОЕКТАХ,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_Toc88723896 \h </w:instrText>
            </w:r>
            <w:r w:rsidR="006D271D">
              <w:fldChar w:fldCharType="separate"/>
            </w:r>
            <w:r w:rsidR="006D271D">
              <w:t>8</w:t>
            </w:r>
            <w:r w:rsidR="006D271D">
              <w:fldChar w:fldCharType="end"/>
            </w:r>
          </w:hyperlink>
        </w:p>
        <w:p w14:paraId="5B5BBC65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7" w:tooltip="#_Toc88723897" w:history="1">
            <w:r w:rsidR="006D271D">
              <w:rPr>
                <w:rStyle w:val="af4"/>
                <w:rFonts w:ascii="Arial Narrow" w:hAnsi="Arial Narrow"/>
              </w:rPr>
              <w:t>РАЗДЕЛ 2. ОБОСНОВАНИЕ ВЫБРАННОГО ВАРИАНТА РАЗМЕЩЕНИЯ ОБЪЕКТОВ МЕСТНОГО ЗНАЧЕНИЯ ГОРОДСКОГО ПОСЕЛЕНИЯ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_Toc88723897 \h </w:instrText>
            </w:r>
            <w:r w:rsidR="006D271D">
              <w:fldChar w:fldCharType="separate"/>
            </w:r>
            <w:r w:rsidR="006D271D">
              <w:t>13</w:t>
            </w:r>
            <w:r w:rsidR="006D271D">
              <w:fldChar w:fldCharType="end"/>
            </w:r>
          </w:hyperlink>
        </w:p>
        <w:p w14:paraId="69574A7A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8" w:tooltip="#_Toc88723898" w:history="1">
            <w:r w:rsidR="006D271D">
              <w:rPr>
                <w:rStyle w:val="af4"/>
                <w:rFonts w:ascii="Arial Narrow" w:hAnsi="Arial Narrow"/>
              </w:rPr>
              <w:t>РАЗДЕЛ 3. ОЦЕНКА ВОЗМОЖНОГО ВЛИЯНИЯ ПЛАНИРУЕМЫХ ДЛЯ РАЗМЕЩЕНИЯ ОБЪЕКТОВ МЕСТНОГО ЗНАЧЕНИЯ ПОСЕЛЕНИЯ НА КОМПЛЕКСНОЕ РАЗВИТИЕ ТЕРРИТОРИИ.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_Toc88723898 \h </w:instrText>
            </w:r>
            <w:r w:rsidR="006D271D">
              <w:fldChar w:fldCharType="separate"/>
            </w:r>
            <w:r w:rsidR="006D271D">
              <w:t>23</w:t>
            </w:r>
            <w:r w:rsidR="006D271D">
              <w:fldChar w:fldCharType="end"/>
            </w:r>
          </w:hyperlink>
        </w:p>
        <w:p w14:paraId="54D117B7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9" w:tooltip="#_Toc88723899" w:history="1">
            <w:r w:rsidR="006D271D">
              <w:rPr>
                <w:rStyle w:val="af4"/>
                <w:rFonts w:ascii="Arial Narrow" w:hAnsi="Arial Narrow"/>
              </w:rPr>
              <w:t>РАЗДЕЛ 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_Toc88723899 \h </w:instrText>
            </w:r>
            <w:r w:rsidR="006D271D">
              <w:fldChar w:fldCharType="separate"/>
            </w:r>
            <w:r w:rsidR="006D271D">
              <w:t>48</w:t>
            </w:r>
            <w:r w:rsidR="006D271D">
              <w:fldChar w:fldCharType="end"/>
            </w:r>
          </w:hyperlink>
        </w:p>
        <w:p w14:paraId="7487A8CF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0" w:history="1">
            <w:r w:rsidR="006D271D">
              <w:rPr>
                <w:rStyle w:val="af4"/>
                <w:rFonts w:ascii="Arial Narrow" w:hAnsi="Arial Narrow"/>
              </w:rPr>
              <w:t xml:space="preserve">РАЗДЕЛ 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</w:t>
            </w:r>
            <w:r w:rsidR="006D271D">
              <w:rPr>
                <w:rStyle w:val="af4"/>
                <w:rFonts w:ascii="Arial Narrow" w:hAnsi="Arial Narrow"/>
              </w:rPr>
              <w:lastRenderedPageBreak/>
              <w:t>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_Toc88723900 \h </w:instrText>
            </w:r>
            <w:r w:rsidR="006D271D">
              <w:fldChar w:fldCharType="separate"/>
            </w:r>
            <w:r w:rsidR="006D271D">
              <w:t>51</w:t>
            </w:r>
            <w:r w:rsidR="006D271D">
              <w:fldChar w:fldCharType="end"/>
            </w:r>
          </w:hyperlink>
        </w:p>
        <w:p w14:paraId="13640B88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1" w:history="1">
            <w:r w:rsidR="006D271D">
              <w:rPr>
                <w:rStyle w:val="af4"/>
                <w:rFonts w:ascii="Arial Narrow" w:hAnsi="Arial Narrow"/>
              </w:rPr>
              <w:t>РАЗДЕЛ 6. ПЕРЕЧЕНЬ И ХАРАКТЕРИСТИКИ ОСНОВНЫХ ФАКТОРОВ РИСКА ВОЗНИКНОВЕНИЯ ЧРЕЗВЫЧАЙНЫХ СИТУАЦИЙ ПРИРОДНОГО И ТЕХНОГЕННОГО ХАРАКТЕРА</w:t>
            </w:r>
            <w:r w:rsidR="006D271D">
              <w:rPr>
                <w:rStyle w:val="af4"/>
                <w:rFonts w:cs="Times New Roman"/>
              </w:rPr>
              <w:t>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_Toc88723901 \h </w:instrText>
            </w:r>
            <w:r w:rsidR="006D271D">
              <w:fldChar w:fldCharType="separate"/>
            </w:r>
            <w:r w:rsidR="006D271D">
              <w:t>54</w:t>
            </w:r>
            <w:r w:rsidR="006D271D">
              <w:fldChar w:fldCharType="end"/>
            </w:r>
          </w:hyperlink>
        </w:p>
        <w:p w14:paraId="001B1D7A" w14:textId="77777777" w:rsidR="009B369E" w:rsidRDefault="004C73D8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2" w:history="1">
            <w:r w:rsidR="006D271D">
              <w:rPr>
                <w:rStyle w:val="af4"/>
                <w:rFonts w:ascii="Arial Narrow" w:hAnsi="Arial Narrow"/>
              </w:rPr>
              <w:t>РАЗДЕЛ 7. ПЕРЕЧЕНЬ ЗЕМЕЛЬНЫХ УЧАСТКОВ, КОТОРЫЕ ВКЛЮЧАЮТСЯ В ГРАНИЦЫ НАСЕЛЕННЫХ ПУНКТОВ, ВХОДЯЩИХ В СОСТАВ ПОСЕЛЕНИЯ ИЛИ ИСКЛЮЧАЮТСЯ ИЗ ЕГО ГРАНИЦ, С УКАЗАНИЕМ КАТЕГОРИЙ ЗЕМЕЛЬ, К КОТОРЫМ ПЛАНИРУЕТСЯ ОТНЕСТИ ЭТИ ЗЕМЕЛЬНЫЕ УЧАСТКИ, И ЦЕЛЕЙ ИХ ПЛАНИРУЕМОГО ИСПОЛЬЗОВАНИЯ.</w:t>
            </w:r>
            <w:r w:rsidR="006D271D">
              <w:tab/>
            </w:r>
            <w:r w:rsidR="006D271D">
              <w:fldChar w:fldCharType="begin"/>
            </w:r>
            <w:r w:rsidR="006D271D">
              <w:instrText xml:space="preserve"> PAGEREF _Toc88723902 \h </w:instrText>
            </w:r>
            <w:r w:rsidR="006D271D">
              <w:fldChar w:fldCharType="separate"/>
            </w:r>
            <w:r w:rsidR="006D271D">
              <w:t>83</w:t>
            </w:r>
            <w:r w:rsidR="006D271D">
              <w:fldChar w:fldCharType="end"/>
            </w:r>
          </w:hyperlink>
        </w:p>
        <w:p w14:paraId="2B468639" w14:textId="77777777" w:rsidR="009B369E" w:rsidRDefault="006D271D">
          <w:pPr>
            <w:spacing w:line="360" w:lineRule="auto"/>
            <w:ind w:firstLine="709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fldChar w:fldCharType="end"/>
          </w:r>
        </w:p>
      </w:sdtContent>
    </w:sdt>
    <w:p w14:paraId="4B97F553" w14:textId="77777777" w:rsidR="009B369E" w:rsidRDefault="009B369E">
      <w:pPr>
        <w:pStyle w:val="1"/>
        <w:spacing w:line="360" w:lineRule="auto"/>
        <w:ind w:firstLine="709"/>
        <w:rPr>
          <w:rFonts w:ascii="Times New Roman" w:hAnsi="Times New Roman" w:cs="Times New Roman"/>
        </w:rPr>
      </w:pPr>
    </w:p>
    <w:p w14:paraId="1FAB575B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r>
        <w:rPr>
          <w:rFonts w:ascii="Times New Roman" w:hAnsi="Times New Roman" w:cs="Times New Roman"/>
        </w:rPr>
        <w:br w:type="column"/>
      </w:r>
      <w:bookmarkStart w:id="6" w:name="_Toc88723896"/>
      <w:r>
        <w:rPr>
          <w:rFonts w:ascii="Arial Narrow" w:hAnsi="Arial Narrow"/>
        </w:rPr>
        <w:lastRenderedPageBreak/>
        <w:t>Раздел 1. Сведения об утвержденных документах стратегического планирования, национальных проектах,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значения.</w:t>
      </w:r>
      <w:bookmarkEnd w:id="6"/>
    </w:p>
    <w:p w14:paraId="0B430E9C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</w:rPr>
        <w:t xml:space="preserve">При подготовке настоящего раздела были рассмотрены стратегические и программные документы, реализация которых может найти отражение в документах территориального планирования. В генеральном плане указаны мероприятия, отраженные в указанных документах, предполагающие строительство или реконструкцию объектов капитального строительства, линейных объектов транспортной и инженерной инфраструктуры. Что касается стратегических направлений развития территории муниципального образования – рассмотрены те, которые оказывают заметное влияние на социально-экономическое развитие Бесланского городского поселения. </w:t>
      </w:r>
    </w:p>
    <w:p w14:paraId="2694344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 соответствии с Федеральным законом от 28.06.2014 № 172-ФЗ «О стратегическом планировании в Российской Федерации» к документам стратегического планирования, разрабатываемым на федеральном уровне, относятся:</w:t>
      </w:r>
    </w:p>
    <w:p w14:paraId="1EA5D40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документы стратегического планирования, разрабатываемые в рамках целеполагания, к которым относятся:</w:t>
      </w:r>
    </w:p>
    <w:p w14:paraId="5AC389F3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ежегодное послание Президента Российской Федерации Федеральному Собранию Российской Федерации;</w:t>
      </w:r>
    </w:p>
    <w:p w14:paraId="1A9009B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стратегия социально-экономического развития Российской Федерации;</w:t>
      </w:r>
    </w:p>
    <w:p w14:paraId="22D1948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стратегия национальной безопасности Российской Федерации, а также основы государственной политики, доктрины и другие документы в сфере обеспечения национальной безопасности Российской Федерации;</w:t>
      </w:r>
    </w:p>
    <w:p w14:paraId="5D3C2A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стратегия научно-технологического развития Российской Федерации;</w:t>
      </w:r>
    </w:p>
    <w:p w14:paraId="68395AC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lastRenderedPageBreak/>
        <w:t>2) документы стратегического планирования, разрабатываемые в рамках целеполагания по отраслевому и территориальному принципу, к которым относятся:</w:t>
      </w:r>
    </w:p>
    <w:p w14:paraId="7B5D8D2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отраслевые документы стратегического планирования Российской Федерации;</w:t>
      </w:r>
    </w:p>
    <w:p w14:paraId="4EFC850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стратегия пространственного развития Российской Федерации;</w:t>
      </w:r>
    </w:p>
    <w:p w14:paraId="48884D90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стратегии социально-экономического развития макрорегионов;</w:t>
      </w:r>
    </w:p>
    <w:p w14:paraId="301455F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3) документы стратегического планирования, разрабатываемые в рамках прогнозирования, к которым относятся:</w:t>
      </w:r>
    </w:p>
    <w:p w14:paraId="1733D27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прогноз научно-технологического развития Российской Федерации;</w:t>
      </w:r>
    </w:p>
    <w:p w14:paraId="3A1D9C8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стратегический прогноз Российской Федерации;</w:t>
      </w:r>
    </w:p>
    <w:p w14:paraId="1D0AF8E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прогноз социально-экономического развития Российской Федерации на долгосрочный период;</w:t>
      </w:r>
    </w:p>
    <w:p w14:paraId="48FC8F0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бюджетный прогноз Российской Федерации на долгосрочный период;</w:t>
      </w:r>
    </w:p>
    <w:p w14:paraId="1C083E8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д) прогноз социально-экономического развития Российской Федерации на среднесрочный период;</w:t>
      </w:r>
    </w:p>
    <w:p w14:paraId="0353E7B0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4) документы стратегического планирования, разрабатываемые в рамках планирования и программирования, к которым относятся:</w:t>
      </w:r>
    </w:p>
    <w:p w14:paraId="44EBFD3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основные направления деятельности Правительства Российской Федерации;</w:t>
      </w:r>
    </w:p>
    <w:p w14:paraId="2C5DFC41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государственные программы Российской Федерации;</w:t>
      </w:r>
    </w:p>
    <w:p w14:paraId="2CA308DB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государственная программа вооружения;</w:t>
      </w:r>
    </w:p>
    <w:p w14:paraId="059778B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схемы территориального планирования Российской Федерации;</w:t>
      </w:r>
    </w:p>
    <w:p w14:paraId="1EFF2FC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д) планы деятельности федеральных органов исполнительной власти.</w:t>
      </w:r>
    </w:p>
    <w:p w14:paraId="3ED854E2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К документам стратегического планирования, разрабатываемым на уровне субъекта Российской Федерации, относятся:</w:t>
      </w:r>
    </w:p>
    <w:p w14:paraId="0C3D446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документ стратегического планирования, разрабатываемый в рамках целеполагания, - стратегия социально-экономического развития субъекта Российской Федерации;</w:t>
      </w:r>
    </w:p>
    <w:p w14:paraId="25762F9C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lastRenderedPageBreak/>
        <w:t>2) документы стратегического планирования, разрабатываемые в рамках прогнозирования, к которым относятся:</w:t>
      </w:r>
    </w:p>
    <w:p w14:paraId="420D47B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прогноз социально-экономического развития субъекта Российской Федерации на долгосрочный период;</w:t>
      </w:r>
    </w:p>
    <w:p w14:paraId="1286163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бюджетный прогноз субъекта Российской Федерации на долгосрочный период;</w:t>
      </w:r>
    </w:p>
    <w:p w14:paraId="3D0F462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прогноз социально-экономического развития субъекта Российской Федерации на среднесрочный период;</w:t>
      </w:r>
    </w:p>
    <w:p w14:paraId="0E02F7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3) документы стратегического планирования, разрабатываемые в рамках планирования и программирования, к которым относятся:</w:t>
      </w:r>
    </w:p>
    <w:p w14:paraId="22DF843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план мероприятий по реализации стратегии социально-экономического развития субъекта Российской Федерации;</w:t>
      </w:r>
    </w:p>
    <w:p w14:paraId="73E0CB7C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государственные программы субъекта Российской Федерации;</w:t>
      </w:r>
    </w:p>
    <w:p w14:paraId="11EB3E2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схема территориального планирования двух и более субъектов Российской Федерации, схема территориального планирования субъекта Российской Федерации.</w:t>
      </w:r>
    </w:p>
    <w:p w14:paraId="08BBF31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К документам стратегического планирования, разрабатываемым на уровне муниципального образования, относятся:</w:t>
      </w:r>
    </w:p>
    <w:p w14:paraId="2D68ED61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стратегия социально-экономического развития муниципального образования;</w:t>
      </w:r>
    </w:p>
    <w:p w14:paraId="2D67750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2) план мероприятий по реализации стратегии социально-экономического развития муниципального образования;</w:t>
      </w:r>
    </w:p>
    <w:p w14:paraId="7501A91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3) прогноз социально-экономического развития муниципального образования на среднесрочный или долгосрочный период;</w:t>
      </w:r>
    </w:p>
    <w:p w14:paraId="5BC0DAD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4) бюджетный прогноз муниципального образования на долгосрочный период;</w:t>
      </w:r>
    </w:p>
    <w:p w14:paraId="1098D502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5) муниципальные программы.</w:t>
      </w:r>
    </w:p>
    <w:p w14:paraId="52307236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279A5C35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67D027E1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3796DFA5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lastRenderedPageBreak/>
        <w:t>Программные документы федерального уровня</w:t>
      </w:r>
      <w:r>
        <w:rPr>
          <w:rFonts w:cs="Times New Roman"/>
        </w:rPr>
        <w:t>.</w:t>
      </w:r>
    </w:p>
    <w:p w14:paraId="320E8EE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программным стратегическим документом федерального значения на территории РСО-Алания является «Стратегия социально-экономического развития Северо-Кавказского федерального округа до 2025 года» (утверждена Постановлением Правительства РФ от 06.09.2010 № 1485-р) (далее – Стратегия), Федеральный закон от 08.12.2020   385-ФЗ «О федеральном бюджете на 2021 год и на плановый период 2022 и 2023 годов», Распоряжение Правительства РФ от 17.06.2008 № 877-р «О стратегии развития железнодорожного транспорта в Российской Федерации до 2030 года», Распоряжение от 16.11.2020 № 3002-р «Перечень мероприятий социально-экономического развития Республики Северная Осетия-Алания, подлежащих реализации в 2020 - 2025 годах в приоритетном порядке».</w:t>
      </w:r>
    </w:p>
    <w:p w14:paraId="738D75E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Применительно к территории Республики Северная Осетия-Алания и Бесланскому городскому поселению как части Республики Северная Осетия-Алания:</w:t>
      </w:r>
    </w:p>
    <w:p w14:paraId="14F12963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- мероприятия, направленные на создание условий для эффективного социально-экономического развития Северо-Кавказского федерального округа и Республики Северная Осетия-Алания как части Северо-Кавказского федерального округа (социально-экономическое развитие Пригородного района Республики Северная Осетия-Алания в местах совместного проживания граждан ингушской и осетинской национальностей; </w:t>
      </w:r>
    </w:p>
    <w:p w14:paraId="02CD883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мероприятия, направленные на развитие туризма в Северо-Кавказском федеральном округе и Республике Северная Осетия-Алания как части Северо-Кавказского федерального округа (созданию и обеспечению деятельности особых экономических зон туристско-рекреационного типа на территории РСО-Алания);</w:t>
      </w:r>
    </w:p>
    <w:p w14:paraId="21EF8A3D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7D96FAFC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24278890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1BAECF43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lastRenderedPageBreak/>
        <w:t>Программные документы регионального уровня</w:t>
      </w:r>
      <w:r>
        <w:rPr>
          <w:rFonts w:cs="Times New Roman"/>
        </w:rPr>
        <w:t>.</w:t>
      </w:r>
    </w:p>
    <w:p w14:paraId="1C51F3B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программным документом на территории региона является Закон Республики Северная Осетия-Алания от 18.09.2019 № 60-РЗ «О стратегии социально-экономического развития Республики Северная Осетия-Алания до 2030 года».</w:t>
      </w:r>
    </w:p>
    <w:p w14:paraId="0F006E8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Применительно к территории Бесланского городского поселения:</w:t>
      </w:r>
    </w:p>
    <w:p w14:paraId="1E9E0FB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развитие дорожно-транспортной сети: уменьшение транзитного автомобильного и железнодорожного движения через центральную часть города за счет развития внешней транспортной инфраструктуры, строительство железнодорожного обхода города; создание транспортно-логистического хаба.</w:t>
      </w:r>
    </w:p>
    <w:p w14:paraId="30CD6F9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экологическая стабилизация: регенерация нарушенных территорий, отведение подтопляемой территории под "зеленые зоны", устройство берегоукрепительных сооружений, уменьшающих интенсивность донного размыва и паводковых процессов, создание водохранилища с целью регулирования стока р. Терек (рекультивация карьера «Бесланского щебеночного завода»).</w:t>
      </w:r>
    </w:p>
    <w:p w14:paraId="543ECFB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организация полноценной природно-парковой среды в городе:</w:t>
      </w:r>
    </w:p>
    <w:p w14:paraId="08B393D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формирование общественной набережной - рекультивация территории (очистка от отходов и загрязнения производством);</w:t>
      </w:r>
    </w:p>
    <w:p w14:paraId="6C3BA2A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развитие рекреационных зон;</w:t>
      </w:r>
    </w:p>
    <w:p w14:paraId="46DCC5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отведение территории юго-восточной части города под застройку и развитие;</w:t>
      </w:r>
    </w:p>
    <w:p w14:paraId="1E93920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организация новых общественных центров.</w:t>
      </w:r>
    </w:p>
    <w:p w14:paraId="1E570924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0C066CB1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6D848822" w14:textId="77777777" w:rsidR="009B369E" w:rsidRDefault="006D271D">
      <w:pPr>
        <w:pStyle w:val="1"/>
        <w:tabs>
          <w:tab w:val="left" w:pos="284"/>
        </w:tabs>
        <w:spacing w:line="360" w:lineRule="auto"/>
        <w:ind w:firstLine="709"/>
        <w:rPr>
          <w:rFonts w:ascii="Arial Narrow" w:hAnsi="Arial Narrow"/>
        </w:rPr>
      </w:pPr>
      <w:r>
        <w:rPr>
          <w:rFonts w:ascii="Arial Narrow" w:hAnsi="Arial Narrow"/>
        </w:rPr>
        <w:br w:type="column"/>
      </w:r>
      <w:bookmarkStart w:id="7" w:name="_Toc88723897"/>
      <w:r>
        <w:rPr>
          <w:rFonts w:ascii="Arial Narrow" w:hAnsi="Arial Narrow"/>
        </w:rPr>
        <w:lastRenderedPageBreak/>
        <w:t>Раздел 2. Обоснование выбранного варианта размещения объектов местного значения городского поселения</w:t>
      </w:r>
      <w:bookmarkEnd w:id="7"/>
    </w:p>
    <w:p w14:paraId="1067654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При определении мест расположения объектов местного значения, планируемых к реализации, авторский коллектив руководствовался сложившей планировочной структурой города, достаточной либо не достаточной обеспеченностью населения объектами инфраструктуры, а также потребностями, которые будут возникать у населения и объектов инфраструктуры при росте и развитии города. </w:t>
      </w:r>
    </w:p>
    <w:p w14:paraId="69A54868" w14:textId="2F668FC9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Одним из основных факторов, определивших развития города Беслан и его планировку являются транспортные артерии. Территорию города Беслан «рассекается» объектами железнодорожной инфраструктуры и автотранспортной инфраструктуры, в том числе федерального значения.</w:t>
      </w:r>
    </w:p>
    <w:p w14:paraId="679F3D8B" w14:textId="77777777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 xml:space="preserve">По территории городского поселения г. Беслан Правобережного муниципального района Республики Северная Осетия – Алания проходят однопутные электрифицированные участки Северо-Кавказской железной дороги филиала ОАО» РЖД»: </w:t>
      </w:r>
      <w:proofErr w:type="spellStart"/>
      <w:r w:rsidRPr="006D271D">
        <w:rPr>
          <w:rFonts w:cs="Times New Roman"/>
        </w:rPr>
        <w:t>Дарг</w:t>
      </w:r>
      <w:proofErr w:type="spellEnd"/>
      <w:r w:rsidRPr="006D271D">
        <w:rPr>
          <w:rFonts w:cs="Times New Roman"/>
        </w:rPr>
        <w:t>-Кох – Назрань, Беслан – Владикавказ. В границах поселения расположены станция Беслан и остановочные пункты: Заводская, Ост. пункт 1 км.</w:t>
      </w:r>
    </w:p>
    <w:p w14:paraId="6308E951" w14:textId="77777777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Так же по территории городского поселения Беслана проходят автомобильных дорогах общего пользования федерального значения:</w:t>
      </w:r>
    </w:p>
    <w:p w14:paraId="67EBB0E0" w14:textId="0F268AF4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6D271D">
        <w:rPr>
          <w:rFonts w:cs="Times New Roman"/>
        </w:rPr>
        <w:t>Р-217 «Кавказ» автомобильная дорога М-4 «Дон» – Владикавказ – Грозный– Махачкала – граница с Азербайджанской Республикой, категория – II, IБ;</w:t>
      </w:r>
    </w:p>
    <w:p w14:paraId="0CA6CFFD" w14:textId="7C12E915" w:rsid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6D271D">
        <w:rPr>
          <w:rFonts w:cs="Times New Roman"/>
        </w:rPr>
        <w:t>А-163 подъездная дорога от автомобильной дороги Р-217 «Кавказ» к аэропорту г. Владикавказа, категория – II.</w:t>
      </w:r>
    </w:p>
    <w:p w14:paraId="170D00C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В качестве индикационных показателей выступали такие показатели как обеспеченность местами в детских школьных и дошкольных образовательных учреждениях, число койко- мест в стационарных объектах здравоохранения, количество учреждений досугового типа на душу населения, количество </w:t>
      </w:r>
      <w:r>
        <w:rPr>
          <w:rFonts w:cs="Times New Roman"/>
        </w:rPr>
        <w:lastRenderedPageBreak/>
        <w:t>объектов физической культуры и спорта, а также объектов коммунальной инфраструктуры и их расположение и доступность для населения.</w:t>
      </w:r>
    </w:p>
    <w:p w14:paraId="68E46B32" w14:textId="77777777" w:rsidR="009B369E" w:rsidRDefault="006D271D">
      <w:pPr>
        <w:pStyle w:val="4"/>
        <w:tabs>
          <w:tab w:val="left" w:pos="710"/>
          <w:tab w:val="left" w:pos="9039"/>
        </w:tabs>
        <w:spacing w:before="127" w:line="360" w:lineRule="auto"/>
        <w:ind w:firstLine="709"/>
        <w:rPr>
          <w:szCs w:val="28"/>
        </w:rPr>
      </w:pPr>
      <w:r>
        <w:rPr>
          <w:szCs w:val="28"/>
        </w:rPr>
        <w:t>Дошкольные образовательные учреждения.</w:t>
      </w:r>
    </w:p>
    <w:p w14:paraId="1DF15C3F" w14:textId="77777777" w:rsidR="009B369E" w:rsidRDefault="006D271D">
      <w:pPr>
        <w:pStyle w:val="af9"/>
        <w:tabs>
          <w:tab w:val="left" w:pos="710"/>
          <w:tab w:val="left" w:pos="9039"/>
        </w:tabs>
        <w:spacing w:before="11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местами в ДОУ и в целом по городу превышает обеспеченность ими почти на 50 %, в территориальном распределении имеются значительные диспропорции, о чём говорилось в п. 5.1. Тома I. Всего на 2038 г. потребность в местах в ДОУ в соответствии с нормами РНГП составит 4688 мест. С учётом перспективного жилищного строительства и увеличения численности детей дошкольного возраста обеспеченность местами в ДОУ выглядит следующим образом (табл. 2.1.1).</w:t>
      </w:r>
    </w:p>
    <w:p w14:paraId="4F6C92C2" w14:textId="77777777" w:rsidR="009B369E" w:rsidRDefault="006D271D">
      <w:pPr>
        <w:pStyle w:val="af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2.1.1 Обеспеченность местами в детских образовательных учреждениях общего типа в разрезе расчетных градостроительных районов.</w:t>
      </w:r>
    </w:p>
    <w:tbl>
      <w:tblPr>
        <w:tblStyle w:val="TableNormal"/>
        <w:tblW w:w="100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433"/>
        <w:gridCol w:w="1134"/>
        <w:gridCol w:w="708"/>
        <w:gridCol w:w="1134"/>
        <w:gridCol w:w="1418"/>
        <w:gridCol w:w="1559"/>
      </w:tblGrid>
      <w:tr w:rsidR="009B369E" w14:paraId="64DD0273" w14:textId="77777777">
        <w:trPr>
          <w:trHeight w:val="3733"/>
          <w:jc w:val="center"/>
        </w:trPr>
        <w:tc>
          <w:tcPr>
            <w:tcW w:w="2679" w:type="dxa"/>
            <w:shd w:val="clear" w:color="auto" w:fill="BEBEBE"/>
            <w:vAlign w:val="center"/>
          </w:tcPr>
          <w:p w14:paraId="13470D52" w14:textId="77777777" w:rsidR="009B369E" w:rsidRDefault="006D271D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433" w:type="dxa"/>
            <w:shd w:val="clear" w:color="auto" w:fill="BEBEBE"/>
            <w:textDirection w:val="btLr"/>
            <w:vAlign w:val="center"/>
          </w:tcPr>
          <w:p w14:paraId="27D6CB65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Расчётное число жителей, тыс. чел.</w:t>
            </w:r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7645BBE7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сущ</w:t>
            </w:r>
            <w:proofErr w:type="spellEnd"/>
            <w:r>
              <w:rPr>
                <w:b/>
                <w:sz w:val="28"/>
                <w:szCs w:val="28"/>
              </w:rPr>
              <w:t xml:space="preserve">. ДОУ, </w:t>
            </w:r>
            <w:proofErr w:type="spellStart"/>
            <w:r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708" w:type="dxa"/>
            <w:shd w:val="clear" w:color="auto" w:fill="BEBEBE"/>
            <w:textDirection w:val="btLr"/>
            <w:vAlign w:val="center"/>
          </w:tcPr>
          <w:p w14:paraId="6C46816E" w14:textId="77777777" w:rsidR="009B369E" w:rsidRDefault="006D271D">
            <w:pPr>
              <w:pStyle w:val="TableParagraph"/>
              <w:spacing w:before="18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Потребность</w:t>
            </w:r>
            <w:proofErr w:type="spellEnd"/>
            <w:r>
              <w:rPr>
                <w:b/>
                <w:sz w:val="28"/>
                <w:szCs w:val="28"/>
              </w:rPr>
              <w:t xml:space="preserve"> в ДОУ, </w:t>
            </w:r>
            <w:proofErr w:type="spellStart"/>
            <w:r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67E0442E" w14:textId="77777777" w:rsidR="009B369E" w:rsidRDefault="006D271D">
            <w:pPr>
              <w:pStyle w:val="TableParagraph"/>
              <w:spacing w:before="142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избыток</w:t>
            </w:r>
            <w:proofErr w:type="spellEnd"/>
            <w:r>
              <w:rPr>
                <w:b/>
                <w:sz w:val="28"/>
                <w:szCs w:val="28"/>
              </w:rPr>
              <w:t xml:space="preserve"> (+)/ </w:t>
            </w:r>
            <w:proofErr w:type="spellStart"/>
            <w:r>
              <w:rPr>
                <w:b/>
                <w:sz w:val="28"/>
                <w:szCs w:val="28"/>
              </w:rPr>
              <w:t>недо</w:t>
            </w:r>
            <w:proofErr w:type="spellEnd"/>
            <w:r>
              <w:rPr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</w:rPr>
              <w:t>статок</w:t>
            </w:r>
            <w:proofErr w:type="spellEnd"/>
            <w:r>
              <w:rPr>
                <w:b/>
                <w:sz w:val="28"/>
                <w:szCs w:val="28"/>
              </w:rPr>
              <w:t xml:space="preserve"> (-) </w:t>
            </w:r>
            <w:proofErr w:type="spellStart"/>
            <w:r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418" w:type="dxa"/>
            <w:shd w:val="clear" w:color="auto" w:fill="BEBEBE"/>
            <w:textDirection w:val="btLr"/>
            <w:vAlign w:val="center"/>
          </w:tcPr>
          <w:p w14:paraId="21A49638" w14:textId="77777777" w:rsidR="009B369E" w:rsidRDefault="006D271D">
            <w:pPr>
              <w:pStyle w:val="TableParagraph"/>
              <w:spacing w:before="74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увеличение (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сокра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щение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кол-ва мест в ДОУ в соответствии с проектом</w:t>
            </w:r>
          </w:p>
        </w:tc>
        <w:tc>
          <w:tcPr>
            <w:tcW w:w="1559" w:type="dxa"/>
            <w:shd w:val="clear" w:color="auto" w:fill="BEBEBE"/>
            <w:textDirection w:val="btLr"/>
            <w:vAlign w:val="center"/>
          </w:tcPr>
          <w:p w14:paraId="42239F56" w14:textId="77777777" w:rsidR="009B369E" w:rsidRDefault="006D271D">
            <w:pPr>
              <w:pStyle w:val="TableParagraph"/>
              <w:spacing w:before="26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Избыток (+) /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по-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требность</w:t>
            </w:r>
            <w:proofErr w:type="spellEnd"/>
            <w:proofErr w:type="gramEnd"/>
          </w:p>
          <w:p w14:paraId="6BA47A89" w14:textId="77777777" w:rsidR="009B369E" w:rsidRDefault="006D271D">
            <w:pPr>
              <w:pStyle w:val="TableParagraph"/>
              <w:spacing w:before="26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(-) в ДОУ с учётом проектных</w:t>
            </w:r>
          </w:p>
          <w:p w14:paraId="1FFDC0E0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мероприятий</w:t>
            </w:r>
          </w:p>
        </w:tc>
      </w:tr>
      <w:tr w:rsidR="009B369E" w14:paraId="635007FE" w14:textId="77777777">
        <w:trPr>
          <w:trHeight w:val="299"/>
          <w:jc w:val="center"/>
        </w:trPr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F502" w14:textId="77777777" w:rsidR="009B369E" w:rsidRDefault="006D271D">
            <w:pPr>
              <w:pStyle w:val="TableParagraph"/>
              <w:spacing w:before="32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Центральный</w:t>
            </w:r>
            <w:proofErr w:type="spellEnd"/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1189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9D5F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0EDF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2DD2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-503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9C97" w14:textId="77777777" w:rsidR="009B369E" w:rsidRDefault="006D271D">
            <w:pPr>
              <w:pStyle w:val="TableParagraph"/>
              <w:spacing w:before="68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3BC0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</w:tr>
      <w:tr w:rsidR="009B369E" w14:paraId="6B463B0C" w14:textId="77777777">
        <w:trPr>
          <w:trHeight w:val="301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93E9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Прибрежный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160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EAB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F080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5B07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1767" w14:textId="77777777" w:rsidR="009B369E" w:rsidRDefault="006D271D">
            <w:pPr>
              <w:pStyle w:val="TableParagraph"/>
              <w:spacing w:before="69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87A2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B369E" w14:paraId="2FACE24C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3C77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Западный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5382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777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2020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2F0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3E92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44F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9B369E" w14:paraId="2453688F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5A86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Северный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832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12B0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A12A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76B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A15A2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C8E3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B369E" w14:paraId="1AF1ADBE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035A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Восточный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5F86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6AA1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58E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D15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888C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195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B369E" w14:paraId="55AF3FC2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200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ВСЕГО </w:t>
            </w:r>
            <w:proofErr w:type="spellStart"/>
            <w:r>
              <w:rPr>
                <w:b/>
                <w:sz w:val="28"/>
                <w:szCs w:val="28"/>
              </w:rPr>
              <w:t>по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городу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6364" w14:textId="77777777" w:rsidR="009B369E" w:rsidRDefault="006D271D">
            <w:pPr>
              <w:pStyle w:val="TableParagraph"/>
              <w:spacing w:before="64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CBAC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3EE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1CD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-2740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916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486C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</w:tr>
    </w:tbl>
    <w:p w14:paraId="3F2DDE3A" w14:textId="77777777" w:rsidR="009B369E" w:rsidRDefault="009B369E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DB32E5C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Ёмкость детских садов общего типа составит в 2038 г. 2855 мест. Проектные мероприятия в части размещения ДОУ разбиты на следующие группы:</w:t>
      </w:r>
    </w:p>
    <w:p w14:paraId="3E0670B7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23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Строительство новых ДОУ в местах нового жилищного</w:t>
      </w:r>
      <w:r>
        <w:rPr>
          <w:rFonts w:cs="Times New Roman"/>
          <w:spacing w:val="-17"/>
          <w:szCs w:val="28"/>
        </w:rPr>
        <w:t xml:space="preserve"> </w:t>
      </w:r>
      <w:r>
        <w:rPr>
          <w:rFonts w:cs="Times New Roman"/>
          <w:szCs w:val="28"/>
        </w:rPr>
        <w:t>строительства.</w:t>
      </w:r>
    </w:p>
    <w:p w14:paraId="181EE889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18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Строительство новых ДОУ в районах комплексной</w:t>
      </w:r>
      <w:r>
        <w:rPr>
          <w:rFonts w:cs="Times New Roman"/>
          <w:spacing w:val="-7"/>
          <w:szCs w:val="28"/>
        </w:rPr>
        <w:t xml:space="preserve"> </w:t>
      </w:r>
      <w:r>
        <w:rPr>
          <w:rFonts w:cs="Times New Roman"/>
          <w:szCs w:val="28"/>
        </w:rPr>
        <w:t>реконструкции.</w:t>
      </w:r>
    </w:p>
    <w:p w14:paraId="74CB9141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21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Реконструкция существующих ДОУ с увеличением</w:t>
      </w:r>
      <w:r>
        <w:rPr>
          <w:rFonts w:cs="Times New Roman"/>
          <w:spacing w:val="2"/>
          <w:szCs w:val="28"/>
        </w:rPr>
        <w:t xml:space="preserve"> </w:t>
      </w:r>
      <w:r>
        <w:rPr>
          <w:rFonts w:cs="Times New Roman"/>
          <w:szCs w:val="28"/>
        </w:rPr>
        <w:t>мест.</w:t>
      </w:r>
    </w:p>
    <w:p w14:paraId="40906160" w14:textId="77777777" w:rsidR="009B369E" w:rsidRDefault="006D271D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проектным мероприятиям относится капитальный ремонт ДОУ № 1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№ 14 (включительно), № 16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Беслан.</w:t>
      </w:r>
    </w:p>
    <w:p w14:paraId="7DF475F7" w14:textId="77777777" w:rsidR="009B369E" w:rsidRDefault="006D271D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более равномерного распределения мест в детских садах проектные мероприятия разделены по градостроительным районам с учетом перспективной численности населения (часть мероприятий реализована).</w:t>
      </w:r>
    </w:p>
    <w:p w14:paraId="265E799F" w14:textId="77777777" w:rsidR="009B369E" w:rsidRDefault="009B369E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C8A0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Центральный район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BF7EA0A" w14:textId="77777777" w:rsidR="009B369E" w:rsidRDefault="006D271D">
      <w:pPr>
        <w:pStyle w:val="af9"/>
        <w:numPr>
          <w:ilvl w:val="0"/>
          <w:numId w:val="2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ДОУ на 180 мест на пересечении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Бр.Ногаевых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Б.Ватаева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 проектом планировки территории на участке 0,63 в период с 2018 г. по 2038 г. Предполагаемый источник финансирования – средства местного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бюджета.</w:t>
      </w:r>
    </w:p>
    <w:p w14:paraId="40DA3DA7" w14:textId="77777777" w:rsidR="009B369E" w:rsidRDefault="006D271D">
      <w:pPr>
        <w:pStyle w:val="af9"/>
        <w:spacing w:before="12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Восточный район</w:t>
      </w:r>
    </w:p>
    <w:p w14:paraId="0F7BF61B" w14:textId="77777777" w:rsidR="009B369E" w:rsidRDefault="006D271D">
      <w:pPr>
        <w:pStyle w:val="af9"/>
        <w:numPr>
          <w:ilvl w:val="0"/>
          <w:numId w:val="3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Строительство ДОУ на 220 мест в новом жилом квартале в районе ул. Широкой. Требуемая площадь – 0,8 га. Период строительства – 2018-2038 гг. Предполагаемый источник финансирования – средства местного бюджета.</w:t>
      </w:r>
    </w:p>
    <w:p w14:paraId="219D1365" w14:textId="77777777" w:rsidR="009B369E" w:rsidRDefault="006D271D">
      <w:pPr>
        <w:pStyle w:val="af9"/>
        <w:numPr>
          <w:ilvl w:val="0"/>
          <w:numId w:val="3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двух ДОУ по 280 мест в новом микрорайоне </w:t>
      </w:r>
      <w:r>
        <w:rPr>
          <w:rFonts w:ascii="Times New Roman" w:hAnsi="Times New Roman" w:cs="Times New Roman"/>
          <w:sz w:val="28"/>
          <w:szCs w:val="28"/>
        </w:rPr>
        <w:lastRenderedPageBreak/>
        <w:t>«Новый Беслан». Необходимая площадь для каждого ДОУ – 0,98 га. Период строительства – 2018-2038 гг. Предполагаемый источник</w:t>
      </w:r>
      <w:r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финансирования – средства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инвесторов.</w:t>
      </w:r>
    </w:p>
    <w:p w14:paraId="21FDDC44" w14:textId="77777777" w:rsidR="009B369E" w:rsidRDefault="006D271D">
      <w:pPr>
        <w:pStyle w:val="af9"/>
        <w:spacing w:before="12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дошкольные образовательные учреждения, запланированные к строительству в период до 2018 года реализованы, острая нехватка свободных мест в данных учреждениях устранена, однако для дальнейшего развития города Беслан (на период до 2038 г.) необходимо продолжать реализовывать строительство таких объектов, а с учетом демографического прогноза количество детей дошкольного возраста увеличится.</w:t>
      </w:r>
    </w:p>
    <w:p w14:paraId="22F7D6A0" w14:textId="77777777" w:rsidR="009B369E" w:rsidRDefault="006D271D">
      <w:pPr>
        <w:pStyle w:val="4"/>
        <w:spacing w:before="126" w:line="360" w:lineRule="auto"/>
        <w:rPr>
          <w:szCs w:val="28"/>
        </w:rPr>
      </w:pPr>
      <w:r>
        <w:rPr>
          <w:szCs w:val="28"/>
        </w:rPr>
        <w:t>Общеобразовательные школьные учреждения</w:t>
      </w:r>
    </w:p>
    <w:p w14:paraId="18F17B43" w14:textId="77777777" w:rsidR="009B369E" w:rsidRDefault="006D271D">
      <w:pPr>
        <w:pStyle w:val="af9"/>
        <w:spacing w:before="11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расчётных градостроительных районов потребность в местах в школах и мероприятия генерального плана выглядят следующим образом (см. таблицу 2.1.2).</w:t>
      </w:r>
    </w:p>
    <w:p w14:paraId="03128998" w14:textId="77777777" w:rsidR="009B369E" w:rsidRDefault="006D271D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  <w:r>
        <w:rPr>
          <w:rFonts w:cs="Times New Roman"/>
          <w:b/>
          <w:bCs/>
          <w:i/>
          <w:iCs/>
          <w:szCs w:val="28"/>
        </w:rPr>
        <w:t xml:space="preserve">Таблица 2.1.2 Потребность в местах в общеобразовательных школах в разрезе расчетных градостроительных районов. </w:t>
      </w:r>
    </w:p>
    <w:p w14:paraId="79352DEF" w14:textId="77777777" w:rsidR="009B369E" w:rsidRDefault="009B369E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tbl>
      <w:tblPr>
        <w:tblStyle w:val="TableNormal"/>
        <w:tblW w:w="10065" w:type="dxa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1275"/>
        <w:gridCol w:w="1134"/>
        <w:gridCol w:w="851"/>
        <w:gridCol w:w="1149"/>
        <w:gridCol w:w="1350"/>
        <w:gridCol w:w="1775"/>
      </w:tblGrid>
      <w:tr w:rsidR="009B369E" w14:paraId="6126CBE9" w14:textId="77777777">
        <w:trPr>
          <w:trHeight w:val="3570"/>
        </w:trPr>
        <w:tc>
          <w:tcPr>
            <w:tcW w:w="2531" w:type="dxa"/>
            <w:shd w:val="clear" w:color="auto" w:fill="BEBEBE"/>
            <w:vAlign w:val="center"/>
          </w:tcPr>
          <w:p w14:paraId="08301FFE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Наименование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3948088C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РГР</w:t>
            </w:r>
          </w:p>
        </w:tc>
        <w:tc>
          <w:tcPr>
            <w:tcW w:w="1275" w:type="dxa"/>
            <w:shd w:val="clear" w:color="auto" w:fill="BEBEBE"/>
            <w:textDirection w:val="btLr"/>
            <w:vAlign w:val="center"/>
          </w:tcPr>
          <w:p w14:paraId="1B7CC252" w14:textId="77777777" w:rsidR="009B369E" w:rsidRDefault="006D271D">
            <w:pPr>
              <w:pStyle w:val="TableParagraph"/>
              <w:spacing w:before="160"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Расчётное число жителей, тыс. чел.</w:t>
            </w:r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1C378701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Сущ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школы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851" w:type="dxa"/>
            <w:shd w:val="clear" w:color="auto" w:fill="BEBEBE"/>
            <w:textDirection w:val="btLr"/>
            <w:vAlign w:val="center"/>
          </w:tcPr>
          <w:p w14:paraId="1942E238" w14:textId="77777777" w:rsidR="009B369E" w:rsidRDefault="006D271D">
            <w:pPr>
              <w:pStyle w:val="TableParagraph"/>
              <w:spacing w:before="176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Потребность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149" w:type="dxa"/>
            <w:shd w:val="clear" w:color="auto" w:fill="BEBEBE"/>
            <w:textDirection w:val="btLr"/>
            <w:vAlign w:val="center"/>
          </w:tcPr>
          <w:p w14:paraId="35ED424E" w14:textId="77777777" w:rsidR="009B369E" w:rsidRDefault="006D271D">
            <w:pPr>
              <w:pStyle w:val="TableParagraph"/>
              <w:spacing w:before="84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Избыток</w:t>
            </w:r>
            <w:proofErr w:type="spellEnd"/>
            <w:r>
              <w:rPr>
                <w:bCs/>
                <w:sz w:val="28"/>
                <w:szCs w:val="28"/>
              </w:rPr>
              <w:t xml:space="preserve"> (+) /</w:t>
            </w:r>
          </w:p>
          <w:p w14:paraId="6A157A82" w14:textId="77777777" w:rsidR="009B369E" w:rsidRDefault="006D271D">
            <w:pPr>
              <w:pStyle w:val="TableParagraph"/>
              <w:spacing w:before="84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недостаток</w:t>
            </w:r>
            <w:proofErr w:type="spellEnd"/>
            <w:r>
              <w:rPr>
                <w:bCs/>
                <w:sz w:val="28"/>
                <w:szCs w:val="28"/>
              </w:rPr>
              <w:t xml:space="preserve"> (-)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350" w:type="dxa"/>
            <w:shd w:val="clear" w:color="auto" w:fill="BEBEBE"/>
            <w:textDirection w:val="btLr"/>
            <w:vAlign w:val="center"/>
          </w:tcPr>
          <w:p w14:paraId="5509B4B4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увеличение (сокращение) кол-ва мест в школах</w:t>
            </w:r>
          </w:p>
        </w:tc>
        <w:tc>
          <w:tcPr>
            <w:tcW w:w="1775" w:type="dxa"/>
            <w:shd w:val="clear" w:color="auto" w:fill="BEBEBE"/>
            <w:textDirection w:val="btLr"/>
            <w:vAlign w:val="center"/>
          </w:tcPr>
          <w:p w14:paraId="7066314F" w14:textId="77777777" w:rsidR="009B369E" w:rsidRDefault="006D271D">
            <w:pPr>
              <w:pStyle w:val="TableParagraph"/>
              <w:spacing w:before="79"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Избыток / потребность в школах с учётом</w:t>
            </w:r>
          </w:p>
          <w:p w14:paraId="1B7E8E53" w14:textId="77777777" w:rsidR="009B369E" w:rsidRDefault="006D271D">
            <w:pPr>
              <w:pStyle w:val="TableParagraph"/>
              <w:spacing w:before="79" w:line="360" w:lineRule="auto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проектных мероприятий</w:t>
            </w:r>
          </w:p>
        </w:tc>
      </w:tr>
      <w:tr w:rsidR="009B369E" w14:paraId="51163521" w14:textId="77777777">
        <w:trPr>
          <w:trHeight w:val="301"/>
        </w:trPr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879B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Центральный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169A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153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E82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2269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D03A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1ECF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A797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9B369E" w14:paraId="606993B8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14B2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Прибрежный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C51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91D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0108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698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F67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592B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-49</w:t>
            </w:r>
          </w:p>
        </w:tc>
      </w:tr>
      <w:tr w:rsidR="009B369E" w14:paraId="1531A502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F686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Западный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561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4B6F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C44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BC27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-941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F984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EC29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9B369E" w14:paraId="4DFF834A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F57A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Северный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0231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E67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6D2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1A30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57D1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9F20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</w:t>
            </w:r>
          </w:p>
        </w:tc>
      </w:tr>
      <w:tr w:rsidR="009B369E" w14:paraId="48183AE3" w14:textId="77777777">
        <w:trPr>
          <w:trHeight w:val="301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809A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Восточный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822B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6684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A6F3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9FA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-1167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A32B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4AA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</w:tr>
      <w:tr w:rsidR="009B369E" w14:paraId="461C0A1D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F0FA" w14:textId="77777777" w:rsidR="009B369E" w:rsidRDefault="006D271D">
            <w:pPr>
              <w:pStyle w:val="TableParagraph"/>
              <w:spacing w:before="28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ВСЕГО </w:t>
            </w:r>
            <w:proofErr w:type="spellStart"/>
            <w:r>
              <w:rPr>
                <w:b/>
                <w:sz w:val="28"/>
                <w:szCs w:val="28"/>
              </w:rPr>
              <w:t>по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городу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90D8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8922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AEF3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72B3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-2562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F60" w14:textId="77777777" w:rsidR="009B369E" w:rsidRDefault="006D271D">
            <w:pPr>
              <w:pStyle w:val="TableParagraph"/>
              <w:spacing w:before="2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A141" w14:textId="77777777" w:rsidR="009B369E" w:rsidRDefault="006D271D">
            <w:pPr>
              <w:pStyle w:val="TableParagraph"/>
              <w:spacing w:before="2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539</w:t>
            </w:r>
          </w:p>
        </w:tc>
      </w:tr>
    </w:tbl>
    <w:p w14:paraId="3CBCC9A9" w14:textId="77777777" w:rsidR="009B369E" w:rsidRDefault="009B369E">
      <w:pPr>
        <w:spacing w:line="360" w:lineRule="auto"/>
        <w:ind w:firstLine="709"/>
        <w:rPr>
          <w:rFonts w:eastAsia="Arial Narrow" w:cs="Times New Roman"/>
          <w:szCs w:val="28"/>
          <w:lang w:eastAsia="ru-RU" w:bidi="ru-RU"/>
        </w:rPr>
      </w:pPr>
    </w:p>
    <w:p w14:paraId="31912B0B" w14:textId="77777777" w:rsidR="009B369E" w:rsidRDefault="006D271D">
      <w:pPr>
        <w:pStyle w:val="af9"/>
        <w:spacing w:before="13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школьной и внешкольной образовательной деятельности, планируемые к реализации:</w:t>
      </w:r>
    </w:p>
    <w:p w14:paraId="292D05E3" w14:textId="77777777" w:rsidR="009B369E" w:rsidRDefault="006D271D">
      <w:pPr>
        <w:pStyle w:val="af9"/>
        <w:numPr>
          <w:ilvl w:val="0"/>
          <w:numId w:val="4"/>
        </w:numPr>
        <w:spacing w:before="13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средней общеобразовательной школы на 550 мест на пер. Менделеева. Период реализации – до 2025 г. Предполагаемый источник финансирования – бюджетные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3F47947B" w14:textId="77777777" w:rsidR="009B369E" w:rsidRDefault="006D271D">
      <w:pPr>
        <w:pStyle w:val="af9"/>
        <w:numPr>
          <w:ilvl w:val="0"/>
          <w:numId w:val="4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средней общеобразовательной школы на 500 мест, расположенной в квартале нового строительства в районе пер.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Г.Окунева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Период реализации – 2018-2038 гг. Предполагаемый источник финансирования – бюджетные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3818034F" w14:textId="77777777" w:rsidR="009B369E" w:rsidRDefault="006D271D">
      <w:pPr>
        <w:pStyle w:val="af9"/>
        <w:numPr>
          <w:ilvl w:val="0"/>
          <w:numId w:val="4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средней общеобразовательной школы на 1000 мест, расположенной в новом микрорайоне «Новый Беслан». Период</w:t>
      </w:r>
      <w:r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– 2018-2038 гг. Предполагаемый источник финансирования – бюджетные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небюджетные</w:t>
      </w:r>
      <w:proofErr w:type="spellEnd"/>
      <w:r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0C43B243" w14:textId="77777777" w:rsidR="009B369E" w:rsidRDefault="006D271D">
      <w:pPr>
        <w:pStyle w:val="af9"/>
        <w:spacing w:before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нормам градостроительного проектирования РСО-Алания, городу требуется Межшкольный учебно-производственный комбинат. Проектом предусмотрено его строительство в квартале новой застройки по ул. 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участке площадью 2,0 га.</w:t>
      </w:r>
    </w:p>
    <w:p w14:paraId="1C1A6F89" w14:textId="77777777" w:rsidR="009B369E" w:rsidRDefault="006D271D">
      <w:pPr>
        <w:pStyle w:val="4"/>
        <w:tabs>
          <w:tab w:val="left" w:pos="2225"/>
          <w:tab w:val="left" w:pos="2226"/>
        </w:tabs>
        <w:spacing w:before="88" w:line="360" w:lineRule="auto"/>
        <w:rPr>
          <w:szCs w:val="28"/>
        </w:rPr>
      </w:pPr>
      <w:r>
        <w:rPr>
          <w:szCs w:val="28"/>
        </w:rPr>
        <w:t>Здравоохранение.</w:t>
      </w:r>
    </w:p>
    <w:p w14:paraId="3D35A147" w14:textId="77777777" w:rsidR="009B369E" w:rsidRDefault="006D271D">
      <w:pPr>
        <w:pStyle w:val="af9"/>
        <w:spacing w:before="23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расчетный период увеличение числа койко-мест в стационарных объектах здравоохранения не потребуется, так как, даже с учетом увеличения численности населения, в городе будет наблюдаться превышение количества существующих койко-место над нормативными.</w:t>
      </w:r>
    </w:p>
    <w:p w14:paraId="4D78F7B6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медицина – весьма высокотехнологичная отрасль, и имеет смысл сосредоточивать медицинские услуги в одном месте, где больному может быть предоставлен максимально широкий спектр услуг, наращивая их качество вместо того, чтобы рассредоточивать усилия на строительстве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отдельных новых учреждений, однако исключением является объекты здравоохранения, необходимые для оказания скорой медицинской помощи.</w:t>
      </w:r>
    </w:p>
    <w:p w14:paraId="34C3CF91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здравоохранения, планируемые к реализации:</w:t>
      </w:r>
    </w:p>
    <w:p w14:paraId="56FECE55" w14:textId="77777777" w:rsidR="009B369E" w:rsidRDefault="006D271D">
      <w:pPr>
        <w:pStyle w:val="af9"/>
        <w:numPr>
          <w:ilvl w:val="0"/>
          <w:numId w:val="5"/>
        </w:numPr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подстанции скорой медицинской помощи (рассчитана на 20 тыс. вызовов в год) – РКБСМП по ул. Коминтерна (расчетный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срок);</w:t>
      </w:r>
    </w:p>
    <w:p w14:paraId="083E78DC" w14:textId="77777777" w:rsidR="009B369E" w:rsidRDefault="006D271D">
      <w:pPr>
        <w:pStyle w:val="af9"/>
        <w:numPr>
          <w:ilvl w:val="0"/>
          <w:numId w:val="5"/>
        </w:numPr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Правобережной центральной районной клинической больницы по ул. Коминтерна (расчетный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5FAF4B90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2C3A1" w14:textId="77777777" w:rsidR="009B369E" w:rsidRDefault="006D271D">
      <w:pPr>
        <w:pStyle w:val="4"/>
        <w:tabs>
          <w:tab w:val="left" w:pos="2225"/>
          <w:tab w:val="left" w:pos="2226"/>
        </w:tabs>
        <w:spacing w:line="360" w:lineRule="auto"/>
        <w:rPr>
          <w:szCs w:val="28"/>
        </w:rPr>
      </w:pPr>
      <w:r>
        <w:rPr>
          <w:szCs w:val="28"/>
        </w:rPr>
        <w:t>Культура и</w:t>
      </w:r>
      <w:r>
        <w:rPr>
          <w:spacing w:val="-3"/>
          <w:szCs w:val="28"/>
        </w:rPr>
        <w:t xml:space="preserve"> </w:t>
      </w:r>
      <w:r>
        <w:rPr>
          <w:szCs w:val="28"/>
        </w:rPr>
        <w:t>искусство.</w:t>
      </w:r>
    </w:p>
    <w:p w14:paraId="1647DC0B" w14:textId="77777777" w:rsidR="009B369E" w:rsidRDefault="006D271D">
      <w:pPr>
        <w:pStyle w:val="af9"/>
        <w:tabs>
          <w:tab w:val="left" w:pos="9035"/>
        </w:tabs>
        <w:spacing w:before="23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серьёзным недостатком системы учреждений культуры является отсутствие </w:t>
      </w:r>
      <w:r>
        <w:rPr>
          <w:rFonts w:ascii="Times New Roman" w:hAnsi="Times New Roman" w:cs="Times New Roman"/>
          <w:b/>
          <w:sz w:val="28"/>
          <w:szCs w:val="28"/>
        </w:rPr>
        <w:t xml:space="preserve">учреждений досугового типа </w:t>
      </w:r>
      <w:r>
        <w:rPr>
          <w:rFonts w:ascii="Times New Roman" w:hAnsi="Times New Roman" w:cs="Times New Roman"/>
          <w:sz w:val="28"/>
          <w:szCs w:val="28"/>
        </w:rPr>
        <w:t>первичного звена – на уровне микрорайонов. Проектом предлагается провести следующие мероприятия:</w:t>
      </w:r>
    </w:p>
    <w:p w14:paraId="5DD162B1" w14:textId="77777777" w:rsidR="009B369E" w:rsidRDefault="006D271D">
      <w:pPr>
        <w:pStyle w:val="af9"/>
        <w:numPr>
          <w:ilvl w:val="0"/>
          <w:numId w:val="5"/>
        </w:numPr>
        <w:tabs>
          <w:tab w:val="left" w:pos="0"/>
        </w:tabs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станции юных натуралистов в Восточном планировочном районе в районе ул. Широкой (расчетный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44C41231" w14:textId="77777777" w:rsidR="009B369E" w:rsidRDefault="006D271D">
      <w:pPr>
        <w:pStyle w:val="af9"/>
        <w:numPr>
          <w:ilvl w:val="0"/>
          <w:numId w:val="5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культурно-развлекательного центра в Восточном планировочном районе на территории планируемой коммерческо-деловой зоны севернее многопрофильного медицинского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30FABF3D" w14:textId="77777777" w:rsidR="009B369E" w:rsidRDefault="006D271D">
      <w:pPr>
        <w:pStyle w:val="af9"/>
        <w:numPr>
          <w:ilvl w:val="0"/>
          <w:numId w:val="5"/>
        </w:numPr>
        <w:tabs>
          <w:tab w:val="left" w:pos="0"/>
        </w:tabs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выставочного центра в Восточном планировочном районе на территории планируемой коммерческо-деловой зоны севернее многопрофильного медицинского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1E874E0B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Дома детского творчества в Центральном планировочном районе по ул. Коминтерна на территории планируемого общественного центра.</w:t>
      </w:r>
    </w:p>
    <w:p w14:paraId="47C9CF64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детской музыкальной школы в Центральном планировочном районе по ул. Коминтерна на территории планируемого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общественного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24260F8A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Станции юных техников в Центральном планировочном районе по ул. Коминтерна на территории планируемого общественного центра;</w:t>
      </w:r>
    </w:p>
    <w:p w14:paraId="632EDD4C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Культурно-патриотический Центр профилактики терроризма «Беслан. Школа № 1»;</w:t>
      </w:r>
    </w:p>
    <w:p w14:paraId="17ECA758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культуры «Дворец молодежи» (ДК БМК);</w:t>
      </w:r>
    </w:p>
    <w:p w14:paraId="6CDCA2AC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Мемориальный комплекс «Город Ангелов»;</w:t>
      </w:r>
    </w:p>
    <w:p w14:paraId="67599A2A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детского творчества по ул. Плиева.</w:t>
      </w:r>
    </w:p>
    <w:p w14:paraId="737C3CDC" w14:textId="77777777" w:rsidR="009B369E" w:rsidRDefault="006D271D">
      <w:pPr>
        <w:spacing w:before="117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развития сети </w:t>
      </w:r>
      <w:r>
        <w:rPr>
          <w:rFonts w:cs="Times New Roman"/>
          <w:b/>
          <w:szCs w:val="28"/>
        </w:rPr>
        <w:t xml:space="preserve">библиотек </w:t>
      </w:r>
      <w:r>
        <w:rPr>
          <w:rFonts w:cs="Times New Roman"/>
          <w:szCs w:val="28"/>
        </w:rPr>
        <w:t>предполагается:</w:t>
      </w:r>
    </w:p>
    <w:p w14:paraId="0037AA94" w14:textId="77777777" w:rsidR="009B369E" w:rsidRDefault="006D271D">
      <w:pPr>
        <w:pStyle w:val="af9"/>
        <w:numPr>
          <w:ilvl w:val="0"/>
          <w:numId w:val="6"/>
        </w:numPr>
        <w:spacing w:before="127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библиотеки на территории реконструируемой застройки поселка Пенькозавод в г. Беслан (расчётный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72979D8B" w14:textId="77777777" w:rsidR="009B369E" w:rsidRDefault="006D271D">
      <w:pPr>
        <w:pStyle w:val="af9"/>
        <w:spacing w:before="12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предлагается в существующих библиотеках активно развивать современные формы хранения информации и предоставления доступа к ней – выход в интернет, развитие других современных технологий информационного обслуживания в едином комплексе с библиотекой.</w:t>
      </w:r>
    </w:p>
    <w:p w14:paraId="3D83DD0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городе нет </w:t>
      </w:r>
      <w:r>
        <w:rPr>
          <w:rFonts w:ascii="Times New Roman" w:hAnsi="Times New Roman" w:cs="Times New Roman"/>
          <w:b/>
          <w:sz w:val="28"/>
          <w:szCs w:val="28"/>
        </w:rPr>
        <w:t xml:space="preserve">кинотеатра на 1000 мест, </w:t>
      </w:r>
      <w:r>
        <w:rPr>
          <w:rFonts w:ascii="Times New Roman" w:hAnsi="Times New Roman" w:cs="Times New Roman"/>
          <w:sz w:val="28"/>
          <w:szCs w:val="28"/>
        </w:rPr>
        <w:t>хотя для города, с размерами и численностью населения, как в Беслане, градостроительными нормами предполагается наличие такового. За расчетный срок предполагается строительство кинотеатра в Центральном планировочном районе по ул. Коминтерна на территории планируемого общественного центра.</w:t>
      </w:r>
    </w:p>
    <w:p w14:paraId="06C31D41" w14:textId="77777777" w:rsidR="009B369E" w:rsidRDefault="006D271D">
      <w:pPr>
        <w:pStyle w:val="af9"/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проектом предусмотрено строительство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музея </w:t>
      </w:r>
      <w:r>
        <w:rPr>
          <w:rFonts w:ascii="Times New Roman" w:hAnsi="Times New Roman" w:cs="Times New Roman"/>
          <w:sz w:val="28"/>
          <w:szCs w:val="28"/>
        </w:rPr>
        <w:t>в Западном планировочном районе на территории планируемой рекреационной зоны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645F393" w14:textId="77777777" w:rsidR="009B369E" w:rsidRDefault="006D271D">
      <w:pPr>
        <w:pStyle w:val="4"/>
        <w:tabs>
          <w:tab w:val="left" w:pos="2225"/>
          <w:tab w:val="left" w:pos="2226"/>
        </w:tabs>
        <w:spacing w:after="240" w:line="360" w:lineRule="auto"/>
        <w:rPr>
          <w:szCs w:val="28"/>
        </w:rPr>
      </w:pPr>
      <w:r>
        <w:rPr>
          <w:szCs w:val="28"/>
        </w:rPr>
        <w:t>Физкультура и</w:t>
      </w:r>
      <w:r>
        <w:rPr>
          <w:spacing w:val="-3"/>
          <w:szCs w:val="28"/>
        </w:rPr>
        <w:t xml:space="preserve"> </w:t>
      </w:r>
      <w:r>
        <w:rPr>
          <w:szCs w:val="28"/>
        </w:rPr>
        <w:t>спорт.</w:t>
      </w:r>
    </w:p>
    <w:p w14:paraId="449E014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предлагается оптимизировать сферу физкультуры и спорта на основе развития дифференцированной сети многофункциональных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спортивных центров. Они будут комбинировать в себе все основные физкультурно-спортивные объекты и позволят охватить все категории населения. Параллельно необходимо проводить модернизацию и реконструкцию существующих объектов физкультуры и спорта.</w:t>
      </w:r>
    </w:p>
    <w:p w14:paraId="7CA3E771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спортивные сооружения включают стадионы, футбольные поля, спортивные площадки, в т.ч. дворовые. Проектом предлагается размещение плоскостных спортивных сооружений в новых формируемых рекреационных зонах, в районах нового жилищного строительства.</w:t>
      </w:r>
    </w:p>
    <w:p w14:paraId="36F2D469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учреждений физкультуры и спорта (таких, как спортивно- тренажерные залы повседневного обслуживания) предполагается при комплексном освоении территорий под жилую застройку в зонах общественных центров.</w:t>
      </w:r>
    </w:p>
    <w:p w14:paraId="1CCB8B73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Прибрежном районе согласно ГП 2006 года выделена территория для размещения городского стадиона. В настоящее время на этой территории построена спортивная площадка. Вместе с тем, вся территория спортивного сооружения расположена в СЗЗ промышленных предприятий. Проектом предлагается строительство на этом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крытого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ФОК и планируется размещение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стадиона в </w:t>
      </w:r>
      <w:r>
        <w:rPr>
          <w:rFonts w:ascii="Times New Roman" w:hAnsi="Times New Roman" w:cs="Times New Roman"/>
          <w:spacing w:val="4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сточном планировочном районе рядом с ипподромом, что позволит создать спортивно-рекреационную зону.</w:t>
      </w:r>
    </w:p>
    <w:p w14:paraId="47B1834F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предполагается строительство Детско-юношеской спортивной школы в Восточном планировочном районе на территории планируемой спортивной зоны в районе ипподрома.</w:t>
      </w:r>
    </w:p>
    <w:p w14:paraId="000740F3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комплекса мотоспорта на территории бывшего карьера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Щебзавода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Прибрежном районе, реконструкция стадиона «Пищевик» на 2000 посадочных мест по ул. Окружной.</w:t>
      </w:r>
    </w:p>
    <w:p w14:paraId="31535630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планируется строительство физкультурно-оздоровительного комплекса в новом микрорайоне «Новый Беслан».</w:t>
      </w:r>
    </w:p>
    <w:p w14:paraId="651E33D9" w14:textId="77777777" w:rsidR="009B369E" w:rsidRDefault="006D271D">
      <w:pPr>
        <w:pStyle w:val="4"/>
        <w:tabs>
          <w:tab w:val="left" w:pos="2226"/>
        </w:tabs>
        <w:spacing w:line="360" w:lineRule="auto"/>
        <w:rPr>
          <w:szCs w:val="28"/>
        </w:rPr>
      </w:pPr>
      <w:r>
        <w:rPr>
          <w:szCs w:val="28"/>
        </w:rPr>
        <w:t xml:space="preserve">Коммунальные объекты. </w:t>
      </w:r>
    </w:p>
    <w:p w14:paraId="52B7ED17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Бани</w:t>
      </w:r>
    </w:p>
    <w:p w14:paraId="750F5C5A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 наличию в городе банно-оздоровительных комплексов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предоставлено не было. На 2038 г. потребность в банях составит 220 мест. Проектом предусмотрено размещение новых бань вместе со спортивными учреждениями, гостиницами, в т.ч. с привлечением частных инвестиций в строительство и эксплуатацию объектов.</w:t>
      </w:r>
    </w:p>
    <w:p w14:paraId="6956D018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Гостиницы</w:t>
      </w:r>
    </w:p>
    <w:p w14:paraId="427A1C09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при дальнейшем развитии города необходимо уделить развитию гостиничного сектора как основы для привлечения представителей иногороднего и международного бизнеса, средства коммуникации и развития связей с другими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регионами.</w:t>
      </w:r>
    </w:p>
    <w:p w14:paraId="61924DA6" w14:textId="77777777" w:rsidR="009B369E" w:rsidRDefault="006D271D">
      <w:pPr>
        <w:pStyle w:val="af9"/>
        <w:spacing w:before="12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имеется одна гостиница, требующая капитального ремонта, в которой в настоящее время функционирует 22 номера, что не удовлетворяет потребности города. Потребность в гостиницах в соответствии с РНГП РСО-А на 2038 г. составит 222 места. Здания гостиниц и гостиничные комплексы предполагается размещать в основном на территориях общественно-деловой застройки, зонах размещения объектов придорожного комплекса и зоне реконструируемой застройки центральной части города. Общую вместимость необходимо определить с учётом инвестпрограмм застройщиков.</w:t>
      </w:r>
    </w:p>
    <w:p w14:paraId="44B9C4FA" w14:textId="77777777" w:rsidR="009B369E" w:rsidRDefault="006D271D">
      <w:pPr>
        <w:pStyle w:val="af9"/>
        <w:spacing w:before="11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Общественные уборные</w:t>
      </w:r>
    </w:p>
    <w:p w14:paraId="25C68556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общественных уборных необходимо довести до нормативных 1 уборной на 1000 жителей или 44 единицы к 2038 г. Размещение уборных необходимо регулировать в проектах планировки территорий, где необходимо определять места для размещения отдельно стоящих зданий или объекты общественного назначения, в которых устраиваются впоследствии общественные уборные.</w:t>
      </w:r>
    </w:p>
    <w:p w14:paraId="4BF5F7E7" w14:textId="77777777" w:rsidR="009B369E" w:rsidRDefault="006D271D">
      <w:pPr>
        <w:pStyle w:val="af9"/>
        <w:spacing w:before="11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Кладбища</w:t>
      </w:r>
    </w:p>
    <w:p w14:paraId="36343395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СНиП площадь кладбища традиционного захоронения должна составлять 0,24 га на 1 тыс. жителей. С учётом перспективной численности населения города 43,97 тыс. чел. потребность в территориях захоронения на </w:t>
      </w:r>
      <w:r>
        <w:rPr>
          <w:rFonts w:ascii="Times New Roman" w:hAnsi="Times New Roman" w:cs="Times New Roman"/>
          <w:sz w:val="28"/>
          <w:szCs w:val="28"/>
        </w:rPr>
        <w:lastRenderedPageBreak/>
        <w:t>расчётный срок, в соответствии со СНиП составит 10,56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га.</w:t>
      </w:r>
    </w:p>
    <w:p w14:paraId="0BABACBB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Принимая во внимание, что три старых кладбища города в настоящее время закрыты, а территория действующего кладбища практически вся занята захоронениями, планируется его расширение до 14,3 га и размещение восточнее действующего кладбища нового кладбища, площадью 19,6 га. Также городу необходимо проводить инвентаризацию захоронений на существующих кладбищах, выявление бесхозных могил, приведение в нормативное состояние санитарно- защитных зон кладбищ.</w:t>
      </w:r>
    </w:p>
    <w:p w14:paraId="540E2DFE" w14:textId="77777777" w:rsidR="009B369E" w:rsidRDefault="006D271D">
      <w:pPr>
        <w:pStyle w:val="af9"/>
        <w:spacing w:before="113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существующее кладбище почти полностью заполнено, необходимо обустройство нового кладбища. Всего территория, занимаемая кладбищами на расчётный срок, составит 42,21 га.</w:t>
      </w:r>
    </w:p>
    <w:p w14:paraId="3F073B9F" w14:textId="77777777" w:rsidR="009B369E" w:rsidRDefault="006D271D">
      <w:pPr>
        <w:pStyle w:val="4"/>
        <w:tabs>
          <w:tab w:val="left" w:pos="2225"/>
          <w:tab w:val="left" w:pos="2226"/>
        </w:tabs>
        <w:spacing w:before="1" w:line="360" w:lineRule="auto"/>
        <w:rPr>
          <w:szCs w:val="28"/>
        </w:rPr>
      </w:pPr>
      <w:r>
        <w:rPr>
          <w:szCs w:val="28"/>
        </w:rPr>
        <w:t>Торговля, сфера услуг, общественное</w:t>
      </w:r>
      <w:r>
        <w:rPr>
          <w:spacing w:val="-4"/>
          <w:szCs w:val="28"/>
        </w:rPr>
        <w:t xml:space="preserve"> </w:t>
      </w:r>
      <w:r>
        <w:rPr>
          <w:szCs w:val="28"/>
        </w:rPr>
        <w:t>питание.</w:t>
      </w:r>
    </w:p>
    <w:p w14:paraId="13870E25" w14:textId="77777777" w:rsidR="009B369E" w:rsidRDefault="006D271D">
      <w:pPr>
        <w:pStyle w:val="af9"/>
        <w:spacing w:before="23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размещении объектов торговли, бытового обслуживания и общественного питания проектные решения по внесению изменений в генеральный план исходят из того, что функционирование подобных объектов сегодня полностью находится в сфере частного предпринимательства, а, следовательно, потребность в них определит рынок, который и будет поддерживать равновесие в их численности. Существующая нормативная база не даёт объективной оценки в потребности в тех или иных учреждениях торговли, а у органов власти отсутствуют правовые рычаги воздействия на ситуацию, в которой, например, численность объектов торговли превысила норматив. Запретить открывать новые объекты торговли в такой ситуации закон не позволяет. Со стороны органов власти остаётся забота об отведении новых территорий под соответствующие функции и надзор за соблюдением порядка торговли в рамках, установленных законом полномочий соответствующего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уровня.</w:t>
      </w:r>
    </w:p>
    <w:p w14:paraId="3F364A94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Ввиду этого проектом не предусмотрено дополнительных мероприятий по развитию сети торговли, общественного питания, бытового обслуживания, так как такое развитие будет осуществляться в рамках рыночных механизмов </w:t>
      </w:r>
      <w:r>
        <w:rPr>
          <w:rFonts w:ascii="Times New Roman" w:hAnsi="Times New Roman" w:cs="Times New Roman"/>
          <w:sz w:val="28"/>
          <w:szCs w:val="28"/>
        </w:rPr>
        <w:lastRenderedPageBreak/>
        <w:t>с минимальным вмешательством органов власти.</w:t>
      </w:r>
    </w:p>
    <w:p w14:paraId="20D7DEE4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используя различные механизмы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градорегулирования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 выполнять следующие мероприятия:</w:t>
      </w:r>
    </w:p>
    <w:p w14:paraId="148EA37A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развивать формы микрорайонной торговли в основном за счёт малых магазинов в пределах пешеходной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доступности;</w:t>
      </w:r>
    </w:p>
    <w:p w14:paraId="3F224035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создавать новые крупные торговые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центры:</w:t>
      </w:r>
    </w:p>
    <w:p w14:paraId="200616A2" w14:textId="77777777" w:rsidR="009B369E" w:rsidRDefault="006D271D">
      <w:pPr>
        <w:widowControl w:val="0"/>
        <w:tabs>
          <w:tab w:val="left" w:pos="1659"/>
        </w:tabs>
        <w:spacing w:before="120"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(строительство ТРК и выставочного комплекса запланировано в Восточном планировочном районе на территории новой коммерческо-деловой зоны севернее многофункционального медицинского центра)</w:t>
      </w:r>
    </w:p>
    <w:p w14:paraId="249F157A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18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проводить комплекс системных мероприятий по благоустройству существующих</w:t>
      </w:r>
      <w:r>
        <w:rPr>
          <w:rFonts w:cs="Times New Roman"/>
          <w:spacing w:val="1"/>
          <w:szCs w:val="28"/>
        </w:rPr>
        <w:t xml:space="preserve"> </w:t>
      </w:r>
      <w:r>
        <w:rPr>
          <w:rFonts w:cs="Times New Roman"/>
          <w:szCs w:val="28"/>
        </w:rPr>
        <w:t>рынков;</w:t>
      </w:r>
    </w:p>
    <w:p w14:paraId="0607ADE2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стимулировать развитие предприятий общественного питания, в т.ч. летних, в общественных центрах и парках, скверах и</w:t>
      </w:r>
      <w:r>
        <w:rPr>
          <w:rFonts w:cs="Times New Roman"/>
          <w:spacing w:val="-9"/>
          <w:szCs w:val="28"/>
        </w:rPr>
        <w:t xml:space="preserve"> </w:t>
      </w:r>
      <w:r>
        <w:rPr>
          <w:rFonts w:cs="Times New Roman"/>
          <w:szCs w:val="28"/>
        </w:rPr>
        <w:t>т.п.;</w:t>
      </w:r>
    </w:p>
    <w:p w14:paraId="6FA6724B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22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сформировать и внедрить в практику требования к архитектурно- художественному оформлению торговых точек, павильонов и</w:t>
      </w:r>
      <w:r>
        <w:rPr>
          <w:rFonts w:cs="Times New Roman"/>
          <w:spacing w:val="-4"/>
          <w:szCs w:val="28"/>
        </w:rPr>
        <w:t xml:space="preserve"> </w:t>
      </w:r>
      <w:r>
        <w:rPr>
          <w:rFonts w:cs="Times New Roman"/>
          <w:szCs w:val="28"/>
        </w:rPr>
        <w:t>т.п.</w:t>
      </w:r>
    </w:p>
    <w:p w14:paraId="5F7B941E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8" w:name="_Toc88723898"/>
      <w:r>
        <w:rPr>
          <w:rFonts w:ascii="Arial Narrow" w:hAnsi="Arial Narrow"/>
        </w:rPr>
        <w:t>Раздел 3. Оценка возможного влияния планируемых для размещения объектов местного значения поселения на комплексное развитие территории.</w:t>
      </w:r>
      <w:bookmarkEnd w:id="8"/>
    </w:p>
    <w:p w14:paraId="22EE19E4" w14:textId="77777777" w:rsidR="009B369E" w:rsidRDefault="006D271D">
      <w:pPr>
        <w:pStyle w:val="af9"/>
        <w:spacing w:before="9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возможных изменений в области градостроительных ограничений и особых условий градостроительной деятельности в результате предусмотренного проектом внесения изменений в генеральный план развития территории, перспектив изменения границ и иных характеристик зон с особыми условиями использования территории.</w:t>
      </w:r>
    </w:p>
    <w:p w14:paraId="23641540" w14:textId="77777777" w:rsidR="009B369E" w:rsidRDefault="006D271D">
      <w:pPr>
        <w:pStyle w:val="af9"/>
        <w:spacing w:before="9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развитию зон с особыми условиями использования территории в муниципальном образовании имеют разную направленность. В одном случае необходима подготовка обоснований для установления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ограничений хозяйственной деятельности либо особых её режимов с целью сохранения требуемых характеристик среды и условий для проживания населения. В другом случае необходимо выполнение комплекса мероприятий, направленных на сокращение существующих зон с особыми условиями использования территорий, оказывающих влияние на сложившуюся застройку (в первую очередь, жилую) в городе.</w:t>
      </w:r>
    </w:p>
    <w:p w14:paraId="518FEE6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планируемые к размещению на территории города объекты капитального строительства требуют установления зон с особыми условиями использования территории, что следует учитывать при планировании использования территории.</w:t>
      </w:r>
    </w:p>
    <w:p w14:paraId="19BA8B9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находятся следующие зоны с особыми условиями использования территорий и зоны планировочных ограничений, выделяемые по условиям охраны окружающей среды и обеспечения санитарно- эпидемиологического благополучия:</w:t>
      </w:r>
    </w:p>
    <w:p w14:paraId="2489D7FB" w14:textId="77777777" w:rsidR="009B369E" w:rsidRDefault="006D271D">
      <w:pPr>
        <w:pStyle w:val="af9"/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санитарно-защитные зоны промышленных, сельскохозяйственных и коммунальных предприятий, торговых и спортивных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объектов;</w:t>
      </w:r>
    </w:p>
    <w:p w14:paraId="572F6D88" w14:textId="77777777" w:rsidR="009B369E" w:rsidRDefault="006D271D">
      <w:pPr>
        <w:pStyle w:val="af9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санитарно-защитная зона от железной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дороги;</w:t>
      </w:r>
    </w:p>
    <w:p w14:paraId="5189E0D5" w14:textId="77777777" w:rsidR="009B369E" w:rsidRDefault="006D271D">
      <w:pPr>
        <w:pStyle w:val="af9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охраняемые природные территории;</w:t>
      </w:r>
    </w:p>
    <w:p w14:paraId="318330D5" w14:textId="77777777" w:rsidR="009B369E" w:rsidRDefault="006D271D">
      <w:pPr>
        <w:pStyle w:val="af9"/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разрывы от линейных объектов инженерной и транспортной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инфраструктуры;</w:t>
      </w:r>
    </w:p>
    <w:p w14:paraId="10F532F9" w14:textId="77777777" w:rsidR="009B369E" w:rsidRDefault="006D271D">
      <w:pPr>
        <w:pStyle w:val="af9"/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водоохранные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зоны;</w:t>
      </w:r>
    </w:p>
    <w:p w14:paraId="29B13AE6" w14:textId="77777777" w:rsidR="009B369E" w:rsidRDefault="006D271D">
      <w:pPr>
        <w:pStyle w:val="af2"/>
        <w:numPr>
          <w:ilvl w:val="0"/>
          <w:numId w:val="21"/>
        </w:numPr>
        <w:spacing w:before="3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прибрежные защитные</w:t>
      </w:r>
      <w:r>
        <w:rPr>
          <w:rFonts w:cs="Times New Roman"/>
          <w:spacing w:val="-3"/>
          <w:szCs w:val="28"/>
        </w:rPr>
        <w:t xml:space="preserve"> </w:t>
      </w:r>
      <w:r>
        <w:rPr>
          <w:rFonts w:cs="Times New Roman"/>
          <w:szCs w:val="28"/>
        </w:rPr>
        <w:t>полосы;</w:t>
      </w:r>
    </w:p>
    <w:p w14:paraId="0F2D4520" w14:textId="77777777" w:rsidR="009B369E" w:rsidRDefault="006D271D">
      <w:pPr>
        <w:pStyle w:val="af2"/>
        <w:numPr>
          <w:ilvl w:val="0"/>
          <w:numId w:val="21"/>
        </w:numPr>
        <w:spacing w:before="3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pacing w:val="-24"/>
          <w:szCs w:val="28"/>
        </w:rPr>
        <w:t xml:space="preserve"> </w:t>
      </w:r>
      <w:r>
        <w:rPr>
          <w:rFonts w:cs="Times New Roman"/>
          <w:szCs w:val="28"/>
        </w:rPr>
        <w:t>зоны охраны источников питьевого</w:t>
      </w:r>
      <w:r>
        <w:rPr>
          <w:rFonts w:cs="Times New Roman"/>
          <w:spacing w:val="-3"/>
          <w:szCs w:val="28"/>
        </w:rPr>
        <w:t xml:space="preserve"> </w:t>
      </w:r>
      <w:r>
        <w:rPr>
          <w:rFonts w:cs="Times New Roman"/>
          <w:szCs w:val="28"/>
        </w:rPr>
        <w:t>водоснабжения;</w:t>
      </w:r>
    </w:p>
    <w:p w14:paraId="56C19F9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изменения перечисленных зон с особыми условиями использования территории связаны с необходимостью установления требуемых нормативными документами ограничений, в случае их отсутствия; изменения границ данных зон либо приведения использования их территории к нормативному; установления зон с особыми условиями в связи с размещением новых объектов капитального строительства.</w:t>
      </w:r>
    </w:p>
    <w:p w14:paraId="5D150C58" w14:textId="77777777" w:rsidR="009B369E" w:rsidRDefault="006D271D">
      <w:pPr>
        <w:pStyle w:val="4"/>
        <w:spacing w:before="119" w:line="360" w:lineRule="auto"/>
        <w:ind w:firstLine="709"/>
        <w:contextualSpacing/>
        <w:rPr>
          <w:szCs w:val="28"/>
        </w:rPr>
      </w:pPr>
      <w:proofErr w:type="spellStart"/>
      <w:r>
        <w:rPr>
          <w:szCs w:val="28"/>
        </w:rPr>
        <w:lastRenderedPageBreak/>
        <w:t>Приаэродромная</w:t>
      </w:r>
      <w:proofErr w:type="spellEnd"/>
      <w:r>
        <w:rPr>
          <w:szCs w:val="28"/>
        </w:rPr>
        <w:t xml:space="preserve"> территории </w:t>
      </w:r>
      <w:r>
        <w:t>территория аэродрома Владикавказ (Беслан).</w:t>
      </w:r>
    </w:p>
    <w:p w14:paraId="0B8782A9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маловажную роль в развитии города составляет аэропорт Владикавказ (Беслан), расположенный в непосредственной близости от Бесланского городского поселения. Этот фактор так же накладывает определенные ограничения на использовании территории Бесланского городского поселения. Согласно Статье 47 Воздушного Кодекса РФ,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выделяются следующие подзоны, в которых устанавливаются ограничения использования объектов недвижимости и осуществления деятельности:</w:t>
      </w:r>
    </w:p>
    <w:p w14:paraId="68AC3614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первая подзона, в которой запрещается размещать объекты, 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судов;</w:t>
      </w:r>
    </w:p>
    <w:p w14:paraId="31A38F4F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вторая подзона, в которой запрещается размещать объекты, не предназначенные 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14:paraId="6ABD8EB5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третья подзона,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14:paraId="05189AC3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четвертая подзона,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подзоны;</w:t>
      </w:r>
    </w:p>
    <w:p w14:paraId="1BF5D8A0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пятая подзона, в которой запрещается размещать опасные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производственные объекты, функционирование которых может повлиять на безопасность полетов воздушных судов;</w:t>
      </w:r>
    </w:p>
    <w:p w14:paraId="418424ED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шестая подзона, в которой запрещается размещать объекты, способствующие привлечению и массовому скоплению птиц;</w:t>
      </w:r>
    </w:p>
    <w:p w14:paraId="058977C9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седьмая подзона, в которой в целях предотвращения негативного физического воздействия устанавливается перечень ограничений использования земельных участков, определенный в соответствии с земельным законодательством с учетом положений настоящей статьи. При этом под указанным негативным физическим воздействием понимается несоответствие эквивалентного уровня звука, возникающего в связи с полетами воздушных судов, санитарно-эпидемиологическим требованиям.</w:t>
      </w:r>
    </w:p>
    <w:p w14:paraId="6FF14A34" w14:textId="423D6CDA" w:rsidR="006D271D" w:rsidRPr="006D271D" w:rsidRDefault="006D271D" w:rsidP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аэродрома</w:t>
      </w:r>
      <w:r w:rsidRPr="006D271D">
        <w:rPr>
          <w:rFonts w:cs="Times New Roman"/>
        </w:rPr>
        <w:t xml:space="preserve"> </w:t>
      </w:r>
      <w:r w:rsidRPr="006D271D">
        <w:rPr>
          <w:rFonts w:ascii="Times New Roman" w:hAnsi="Times New Roman" w:cs="Times New Roman"/>
          <w:sz w:val="28"/>
          <w:szCs w:val="28"/>
        </w:rPr>
        <w:t>Владикавказ (Беслан), установленной приказом Росавиации от 26 октября 2020 г. № 1329-П.</w:t>
      </w:r>
    </w:p>
    <w:p w14:paraId="736175C8" w14:textId="77777777" w:rsidR="009B369E" w:rsidRDefault="006D271D">
      <w:pPr>
        <w:pStyle w:val="4"/>
        <w:spacing w:before="225" w:after="240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Санитарно-защитные зоны.</w:t>
      </w:r>
    </w:p>
    <w:p w14:paraId="7CF0651A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Санитарно-защитная зона должна иметь последовательную проработку ее территориальной организации, озеленения и благоустройства на всех этапах разработки всех видов градостроительной, предпроектной и проектной документации, строительства и эксплуатации отдельного предприятия или промышленного комплекса.</w:t>
      </w:r>
    </w:p>
    <w:p w14:paraId="2D63829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предпроектной, проектной документации на строительство новых, реконструкцию или техническое перевооружение действующих предприятий и сооружений должны быть предусмотрены средства на организацию и благоустройство санитарно-защитных зон, включая переселение жителей в случае необходимости, а в составе проектно-сметной документации должен быть представлен проект по ее организации, благоустройству и озеленению в соответствии с действующей нормативной документацией.</w:t>
      </w:r>
    </w:p>
    <w:p w14:paraId="5D94D2B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групп промышленных объектов и производств или промышленного узла (комплекса) устанавливается единая расчетная и окончательно установленная санитарно-защитная зона с учетом суммарных выбросов в </w:t>
      </w:r>
      <w:r>
        <w:rPr>
          <w:rFonts w:ascii="Times New Roman" w:hAnsi="Times New Roman" w:cs="Times New Roman"/>
          <w:sz w:val="28"/>
          <w:szCs w:val="28"/>
        </w:rPr>
        <w:lastRenderedPageBreak/>
        <w:t>атмосферный воздух и физического воздействия источников промышленных объектов и производств, входящих в единую зону.</w:t>
      </w:r>
    </w:p>
    <w:p w14:paraId="3164686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СанПиН 2.2.1/2.1.1.1200-03, разработка проекта санитарно-защитной зоны для объектов I - III класса опасности является обязательной.</w:t>
      </w:r>
    </w:p>
    <w:p w14:paraId="740550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санитарно-защитных зон могут быть увеличены. В перечень причин, обусловливающих необходимость увеличения размера санитарно-защитных зон или создания индивидуальных зон для отдельных предприятий и промышленных комплексов сверх установленных по санитарной классификации производств, входит:</w:t>
      </w:r>
    </w:p>
    <w:p w14:paraId="0AE9EF89" w14:textId="77777777" w:rsidR="009B369E" w:rsidRDefault="006D271D">
      <w:pPr>
        <w:pStyle w:val="af9"/>
        <w:numPr>
          <w:ilvl w:val="0"/>
          <w:numId w:val="22"/>
        </w:numPr>
        <w:spacing w:before="121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превышение допустимых уровней воздействия по любому фактору за пределами требуемой СЗЗ по материалам лабораторного контроля при невозможности снижения уровня загрязнения техническими средствами;</w:t>
      </w:r>
    </w:p>
    <w:p w14:paraId="4B972120" w14:textId="77777777" w:rsidR="009B369E" w:rsidRDefault="006D271D">
      <w:pPr>
        <w:pStyle w:val="af9"/>
        <w:numPr>
          <w:ilvl w:val="0"/>
          <w:numId w:val="23"/>
        </w:numPr>
        <w:spacing w:before="126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новых, недостаточно изученных, не имеющих аналогов в стране и за рубежом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технологий.</w:t>
      </w:r>
    </w:p>
    <w:p w14:paraId="7FDEB7F7" w14:textId="77777777" w:rsidR="009B369E" w:rsidRDefault="006D271D">
      <w:pPr>
        <w:pStyle w:val="af9"/>
        <w:spacing w:before="126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санитарно-защитной зоны могут быть уменьшены при:</w:t>
      </w:r>
    </w:p>
    <w:p w14:paraId="1E447BCA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объективном доказательстве стабильного достижения уровня техногенного воздействия на среду обитания и население в рамках и ниже нормативных требований по материалам систематических (не менее чем годовых) лабораторных наблюдений за состоянием загрязнения воздушной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среды;</w:t>
      </w:r>
    </w:p>
    <w:p w14:paraId="444DAE01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подтверждении замерами снижения уровней шума и других физических факторов в пределах жилой застройки ниже гигиенических</w:t>
      </w:r>
      <w:r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нормативов;</w:t>
      </w:r>
    </w:p>
    <w:p w14:paraId="731929FC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уменьшении мощности, перепрофилировании предприятия и связанным с этим изменением класса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опасности.</w:t>
      </w:r>
    </w:p>
    <w:p w14:paraId="276CAFA5" w14:textId="77777777" w:rsidR="009B369E" w:rsidRDefault="006D271D">
      <w:pPr>
        <w:pStyle w:val="af9"/>
        <w:spacing w:before="12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сокращение величины санитарно-защитной зоны на основании данных, полученных только расчетным путем.</w:t>
      </w:r>
    </w:p>
    <w:p w14:paraId="0F9B13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подготовки документов территориального планирования чаще всего возникает необходимость решения вопроса о дальнейшей судьбе </w:t>
      </w:r>
      <w:r>
        <w:rPr>
          <w:rFonts w:ascii="Times New Roman" w:hAnsi="Times New Roman" w:cs="Times New Roman"/>
          <w:sz w:val="28"/>
          <w:szCs w:val="28"/>
        </w:rPr>
        <w:lastRenderedPageBreak/>
        <w:t>жилой застройки, расположенной в пределах санитарно-защитных зон предприятий. Вопросы размещения жилья в санитарно-защитных зонах могут решаться несколькими путями, основными из которых являются:</w:t>
      </w:r>
    </w:p>
    <w:p w14:paraId="4B4BB96F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Вынос жилья за пределы санитарно-защитной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зоны.</w:t>
      </w:r>
    </w:p>
    <w:p w14:paraId="3315C3E5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Вынос предприятия – источника загрязнения – за пределы селитебной территории.</w:t>
      </w:r>
    </w:p>
    <w:p w14:paraId="65090999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Перепрофилирование предприятия с целью организации менее вредного производства в пределах его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участка.</w:t>
      </w:r>
    </w:p>
    <w:p w14:paraId="26C21185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Применение технологических средств, направленных на снижение </w:t>
      </w:r>
      <w:r>
        <w:rPr>
          <w:rFonts w:cs="Times New Roman"/>
          <w:spacing w:val="2"/>
          <w:szCs w:val="28"/>
        </w:rPr>
        <w:t>вы</w:t>
      </w:r>
      <w:r>
        <w:rPr>
          <w:rFonts w:cs="Times New Roman"/>
          <w:szCs w:val="28"/>
        </w:rPr>
        <w:t>бросов с последующим сокращением размеров санитарно-защитной зоны.</w:t>
      </w:r>
    </w:p>
    <w:p w14:paraId="7E26D41C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мероприятий может быть осуществлена силами муниципалитета, часть – за счет самих предприятий.</w:t>
      </w:r>
    </w:p>
    <w:p w14:paraId="32A42A3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Посредством территориального планирования эти методы закрепляются функциональным зонированием на уровне генерального плана. В проекте изменений генерального плана определяется целевое назначение территорий на расчетный срок, которое впоследствии закрепляется в правилах землепользования и</w:t>
      </w:r>
      <w:r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застройки. </w:t>
      </w:r>
    </w:p>
    <w:p w14:paraId="5EF5279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источниками, оказывающими негативное влияние на жилую застройку на территории города Беслан, являются:</w:t>
      </w:r>
    </w:p>
    <w:p w14:paraId="7DFBFBD4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Промышленные, коммунальные и сельскохозяйственные предприятия на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территории.</w:t>
      </w:r>
    </w:p>
    <w:p w14:paraId="46F8F484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Объекты торгового и спортивного назначения.</w:t>
      </w:r>
    </w:p>
    <w:p w14:paraId="57C95992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Кладбища.</w:t>
      </w:r>
    </w:p>
    <w:p w14:paraId="627E2C46" w14:textId="77777777" w:rsidR="009B369E" w:rsidRDefault="006D271D">
      <w:pPr>
        <w:pStyle w:val="af9"/>
        <w:spacing w:before="11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изменений генерального плана не предлагается проведения кардинальных изменений функционального использования территории города в части размещения промышленных и коммунальных зон среди селитебной застройки. Современный технологический прогресс позволяет значительно снизить вредность промышленных предприятий, а расположение мест </w:t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приложения труда в жилой зоне является благоприятным фактором.</w:t>
      </w:r>
    </w:p>
    <w:p w14:paraId="1D756B6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практически для всех производственных площадок сохранено функциональное использование «промышленные и коммунальные зоны». Однако необходима дальнейшая планомерная работа с каждой из площадок, направленная на приведение в соответствие режимов использования территорий санитарно- защитных зон. Необходимо ведение реестра промышленных, коммунальных и других объектов-источников загрязнения окружающей среды. Предлагается разработка соответствующей муниципальной программы, целью которой должно стать достижение санитарно-эпидемиологического благополучия территорий города. Необходимо определение методов и сроков решения вопросов санитарно-защитных зон по каждой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площадке.</w:t>
      </w:r>
    </w:p>
    <w:p w14:paraId="3CA5E6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Отдельным вопросом является организация санитарно-защитных зон коммунальных объектов, являющихся муниципальной собственностью. В случае таких объектов вопросы санитарно-защитных зон должны решаться только силами муниципалитета.</w:t>
      </w:r>
    </w:p>
    <w:p w14:paraId="43790F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проблему представляет свалка ТБО, в границах санитарно-защитной зоны которой расположена жилая застройка и садоводческие товарищества. По данному вопросу принято решение о выносе полигона ТБО за границы городского поселения и рекультивация земли на его месте.</w:t>
      </w:r>
    </w:p>
    <w:p w14:paraId="1661A5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обеспечение нормируемых санитарно-защитных зон при размещении новых и реконструкции (техническом перевооружении) существующих производств и других объектов в соответствии с СанПиН 2.2.1/2.1.1.1200-03 «Санитарно-защитные зоны и санитарная классификация предприятий, сооружений и иных объектов».</w:t>
      </w:r>
    </w:p>
    <w:p w14:paraId="3B0CF1D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изменений генерального плана предлагается развитие промышленных территорий в северной части города. В этой части города возможно размещение предприятий вплоть до I класса вредности.</w:t>
      </w:r>
    </w:p>
    <w:p w14:paraId="7AA6DFC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Требуют организации санитарно-защитных зон также предлагаемые к размещению объекты торговли, транспорта, спорта и т.д. Проектирование их </w:t>
      </w:r>
      <w:r>
        <w:rPr>
          <w:rFonts w:ascii="Times New Roman" w:hAnsi="Times New Roman" w:cs="Times New Roman"/>
          <w:sz w:val="28"/>
          <w:szCs w:val="28"/>
        </w:rPr>
        <w:lastRenderedPageBreak/>
        <w:t>санитарно-защитных зон должно предшествовать строительству, затем необходима корректировка проектов санитарно-защитных зон после ввода объектов в эксплуатацию.</w:t>
      </w:r>
    </w:p>
    <w:p w14:paraId="6EE2EBB7" w14:textId="77777777" w:rsidR="009B369E" w:rsidRDefault="006D271D">
      <w:pPr>
        <w:pStyle w:val="4"/>
        <w:spacing w:before="129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Санитарно-защитная зона железной дороги.</w:t>
      </w:r>
    </w:p>
    <w:p w14:paraId="1279CE62" w14:textId="52C53BA3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Стратегическими и программными документами федерального уровня предусмотрен</w:t>
      </w:r>
      <w:r w:rsidR="007130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0F0">
        <w:rPr>
          <w:rFonts w:ascii="Times New Roman" w:hAnsi="Times New Roman" w:cs="Times New Roman"/>
          <w:sz w:val="28"/>
          <w:szCs w:val="28"/>
        </w:rPr>
        <w:t>строительство обхода г. Беслан в целях выноса движения поездов с транзитными опасными грузами за пределы города</w:t>
      </w:r>
      <w:r>
        <w:rPr>
          <w:rFonts w:ascii="Times New Roman" w:hAnsi="Times New Roman" w:cs="Times New Roman"/>
          <w:sz w:val="28"/>
          <w:szCs w:val="28"/>
        </w:rPr>
        <w:t>. Необходимо выполнение комплекса мероприятий, направленных на сокращение размера санитарно-защитной зоны (прежде всего, шумозащитных). Выполнение данных мероприятий должно быть обеспечено собственником железной дороги. Требуется благоустройство и озеленение санитарно- защитной зоны.</w:t>
      </w:r>
    </w:p>
    <w:p w14:paraId="65EF45AA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Санитарные разрывы.</w:t>
      </w:r>
    </w:p>
    <w:p w14:paraId="27507036" w14:textId="77777777" w:rsidR="009B369E" w:rsidRDefault="006D271D">
      <w:pPr>
        <w:pStyle w:val="af9"/>
        <w:spacing w:before="7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разрывы, которые необходимо соблюдать на территории города, связаны, в основном, с линейными объектами инженерной и транспортной инфраструктуры.</w:t>
      </w:r>
    </w:p>
    <w:p w14:paraId="53ED9F3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санитарных разрывов должны быть определены на основании расчетов с последующим проведением натурных измерений уровней загрязнения. Размеры санитарных разрывов определяются на основании СанПиН 2.2.1/2.1.1.1200-03 «Санитарно-защитные зоны и санитарная классификация пред- приятий, сооружений и иных объектов», а также СП 42.13330.2011 «Градостроительство. Планировка и застройка городских и сельских поселений».</w:t>
      </w:r>
    </w:p>
    <w:p w14:paraId="5E019B0E" w14:textId="77777777" w:rsidR="009B369E" w:rsidRDefault="006D271D">
      <w:pPr>
        <w:pStyle w:val="af9"/>
        <w:spacing w:before="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СанПиН 2.2.1/2.1.1.1200-03 для автомагистралей, линий железнодорожного транспорта, гаражей и автостоянок устанавливается расстояние от источника химического, биологического и/или физического воздействия, уменьшающее эти воздействия до значений гигиенических нормативов (санитарные разрывы).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(шума, вибрации,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электромагнитных полей и др.) с последующим проведением натурных исследований и измерений.</w:t>
      </w:r>
    </w:p>
    <w:p w14:paraId="7EA64A0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СП 42.13330.2011 автомобильные дороги общей сети I, II, III категорий, как правило, следует проектировать в обход поселений в соответствии с СП 34.13330. Расстояния от бровки земляного полотна указанных дорог до застройки необходимо принимать в соответствии с СП 34.13330 и требованиями раздела 14, но не менее, м: до жилой застройки – 100; садово-дачной застройки – 50; для дорог IV категории – соответственно 50 и 25. Со стороны жилой и общественной застройки поселений, садоводческих товариществ следует предусматривать вдоль дороги полосу зеленых насаждений шириной не менее 10 м.</w:t>
      </w:r>
    </w:p>
    <w:p w14:paraId="4C7264C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документ также устанавливает минимальные размеры санитарных разрывов от кладбищ до стен жилых домов, зданий общеобразовательных школ, детских дошкольных и лечебных учреждений. Так, разрыв от кладбищ традиционного захоронения должен составлять не менее 300 метров; от кладбищ захоронения после кремации – не менее 100м.</w:t>
      </w:r>
    </w:p>
    <w:p w14:paraId="5B91F54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в части соблюдения санитарных разрывов относится учет санитарных разрывов при формировании и предоставлении земельных участков для ведения хозяйственной деятельности в границах городского поселения, обеспечение соблюдения собственниками земельных участков санитарных разрывов при размещении объектов капитального строительства.</w:t>
      </w:r>
    </w:p>
    <w:p w14:paraId="097C42D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должны выдерживаться санитарные разрывы при размещении новых и реконструкции существующих объектов капитального строительства, требующих установления санитарных разрывов.</w:t>
      </w:r>
    </w:p>
    <w:p w14:paraId="7F1E2BD1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Особо охраняемые природные территории.</w:t>
      </w:r>
    </w:p>
    <w:p w14:paraId="4383E3B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Памятники природы –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</w:t>
      </w:r>
    </w:p>
    <w:p w14:paraId="35C3C7C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имеется один памятник природы регионального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значения, поставленный на государственную охрану и включенный в Перечень, утверждённый постановлением Правительства Республики Северная Осетия-Алания от 22.02.2008 № 31, – парк БМК.</w:t>
      </w:r>
    </w:p>
    <w:p w14:paraId="32D532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территориях, на которых находятся памятники природы и в границах их охранных зон, запрещается всякая деятельность, влекущая за собой нарушение сохранности памятников природы.</w:t>
      </w:r>
    </w:p>
    <w:p w14:paraId="37F9A4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памятника природы, согласно природоохранному законодательству, возложена на землепользователей.</w:t>
      </w:r>
    </w:p>
    <w:p w14:paraId="7F39DA96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Водоохранные зоны.</w:t>
      </w:r>
    </w:p>
    <w:p w14:paraId="6983A44D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Водоохранными зонами являются территории, которые примыкают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14:paraId="7A4308E4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14:paraId="78B91ABF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пределами территорий городов и других населенных пунктов ширина водоохранной зоны рек, ручьев, каналов, озер, водохранилищ и ширина их прибрежной защитной полосы устанавливаются от местоположения соответствующей береговой линии (границы водного объекта), а ширина водоохранной зоны морей и ширина их прибрежной защитной полосы - от линии максимального прилива.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набережных, ширина водоохранной зоны на таких территориях устанавливается от парапета набережной.</w:t>
      </w:r>
    </w:p>
    <w:p w14:paraId="7043FE68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водоохранной зоны рек или ручьев устанавливается от их </w:t>
      </w:r>
      <w:r>
        <w:rPr>
          <w:rFonts w:ascii="Times New Roman" w:hAnsi="Times New Roman" w:cs="Times New Roman"/>
          <w:sz w:val="28"/>
          <w:szCs w:val="28"/>
        </w:rPr>
        <w:lastRenderedPageBreak/>
        <w:t>истока для рек или ручьев протяженностью:</w:t>
      </w:r>
    </w:p>
    <w:p w14:paraId="7B83C0B5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до десяти километров - в размере пятидесяти метров;</w:t>
      </w:r>
    </w:p>
    <w:p w14:paraId="0884D35F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от десяти до пятидесяти километров - в размере ста метров;</w:t>
      </w:r>
    </w:p>
    <w:p w14:paraId="6AADA17A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от пятидесяти километров и более - в размере двухсот метров.</w:t>
      </w:r>
    </w:p>
    <w:p w14:paraId="2218A77B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14:paraId="26DDCB37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14:paraId="25C9B2EE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Водоохранные зоны магистральных или межхозяйственных каналов совпадают по ширине с полосами отводов таких каналов.</w:t>
      </w:r>
    </w:p>
    <w:p w14:paraId="45E225E8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Водоохранные зоны рек, их частей, помещенных в закрытые коллекторы, не устанавливаются.</w:t>
      </w:r>
    </w:p>
    <w:p w14:paraId="0FD52022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14:paraId="7E3E6C93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14:paraId="3BD83465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прибрежной защитной полосы реки, озера, водохранилища, являющихся средой обитания, местами воспроизводства, нереста, нагула, миграционными путями особо ценных водных биологических ресурсов (при наличии одного из показателей) и (или) используемых для добычи (вылова), сохранения таких видов водных биологических ресурсов и среды их </w:t>
      </w:r>
      <w:r>
        <w:rPr>
          <w:rFonts w:ascii="Times New Roman" w:hAnsi="Times New Roman" w:cs="Times New Roman"/>
          <w:sz w:val="28"/>
          <w:szCs w:val="28"/>
        </w:rPr>
        <w:lastRenderedPageBreak/>
        <w:t>обитания, устанавливается в размере двухсот метров независимо от уклона берега.</w:t>
      </w:r>
    </w:p>
    <w:p w14:paraId="705EDD3B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местоположения береговой линии (границы водного объекта).</w:t>
      </w:r>
    </w:p>
    <w:p w14:paraId="025A18C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относится обеспечение режимов водоохранных зон при подготовке документации по планировке территории, предоставлении земельных участков для размещения объектов капитального строительства.</w:t>
      </w:r>
    </w:p>
    <w:p w14:paraId="55750C9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установления водоохранных зон в настоящее время на территории города Беслан не завершен.</w:t>
      </w:r>
    </w:p>
    <w:p w14:paraId="0671D515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В границах водоохранных зон запрещается:</w:t>
      </w:r>
    </w:p>
    <w:p w14:paraId="58083C4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использование сточных вод в целях регулирования плодородия почв;</w:t>
      </w:r>
    </w:p>
    <w:p w14:paraId="4EFD4B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концентрации, которых в водах водных объектов рыбохозяйственного значения не установлены;</w:t>
      </w:r>
    </w:p>
    <w:p w14:paraId="664F19E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осуществление авиационных мер по борьбе с вредными организмами;</w:t>
      </w:r>
    </w:p>
    <w:p w14:paraId="03A18C0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6785017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</w:t>
      </w:r>
      <w:r>
        <w:rPr>
          <w:rFonts w:ascii="Times New Roman" w:hAnsi="Times New Roman" w:cs="Times New Roman"/>
          <w:sz w:val="28"/>
          <w:szCs w:val="28"/>
        </w:rPr>
        <w:lastRenderedPageBreak/>
        <w:t>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749528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</w:r>
    </w:p>
    <w:p w14:paraId="193769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сброс сточных, в том числе дренажных, вод;</w:t>
      </w:r>
    </w:p>
    <w:p w14:paraId="7DD1DD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N 2395-1 "О недрах").</w:t>
      </w:r>
    </w:p>
    <w:p w14:paraId="772CDF48" w14:textId="77777777" w:rsidR="009B369E" w:rsidRDefault="006D271D">
      <w:pPr>
        <w:pStyle w:val="af9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</w:t>
      </w:r>
      <w:r>
        <w:rPr>
          <w:rFonts w:ascii="Times New Roman" w:hAnsi="Times New Roman" w:cs="Times New Roman"/>
          <w:sz w:val="28"/>
          <w:szCs w:val="28"/>
        </w:rPr>
        <w:lastRenderedPageBreak/>
        <w:t>микроорганизмов. Под сооружениями, обеспечивающими охрану водных объектов от загрязнения, засорения, заиления и истощения вод, понимаются:</w:t>
      </w:r>
    </w:p>
    <w:p w14:paraId="0F7EB99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"/>
      <w:bookmarkEnd w:id="9"/>
      <w:r>
        <w:rPr>
          <w:rFonts w:ascii="Times New Roman" w:hAnsi="Times New Roman" w:cs="Times New Roman"/>
          <w:sz w:val="28"/>
          <w:szCs w:val="28"/>
        </w:rPr>
        <w:t>1) централизованные системы водоотведения (канализации), централизованные ливневые системы водоотведения;</w:t>
      </w:r>
    </w:p>
    <w:p w14:paraId="0BA2365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14:paraId="690A62D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14:paraId="4E7ED2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материалов;</w:t>
      </w:r>
    </w:p>
    <w:p w14:paraId="7268319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сооружения,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среду.</w:t>
      </w:r>
    </w:p>
    <w:p w14:paraId="22437B3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территорий ведения гражданами садоводства или огородничества для собственных нужд, размещенных в границах водоохранных зон и не оборудованных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w:anchor="Par1" w:tooltip="#Par1" w:history="1">
        <w:r>
          <w:rPr>
            <w:rFonts w:ascii="Times New Roman" w:hAnsi="Times New Roman" w:cs="Times New Roman"/>
            <w:sz w:val="28"/>
            <w:szCs w:val="28"/>
          </w:rPr>
          <w:t>пункте 1 части 16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</w:p>
    <w:p w14:paraId="11DBF0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территориях, расположенных в границах водоохранных зон и занятых защитными лесами, особо защитными участками лесов, наряду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ограничениями, предусмотренные установленными лесным законодательством правовым режимом защитных лесов, правовым режимом особо защитных участков лесов. </w:t>
      </w:r>
    </w:p>
    <w:p w14:paraId="3DA3B64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4C94A778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Прибрежные защитные полосы.</w:t>
      </w:r>
    </w:p>
    <w:p w14:paraId="7DE99316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прибрежных защитных полос наряду с установленными </w:t>
      </w:r>
      <w:hyperlink r:id="rId8" w:tooltip="consultantplus://offline/ref=94A7D883A98836B98089D516F2AB26E75518A9C6CE74DA489271AC6D5BECA2CEC99F6FEC078911FA229CE7ED6173D51C611714A2910C75F17Fb5I" w:history="1">
        <w:r>
          <w:rPr>
            <w:rFonts w:ascii="Times New Roman" w:hAnsi="Times New Roman" w:cs="Times New Roman"/>
            <w:sz w:val="28"/>
            <w:szCs w:val="28"/>
          </w:rPr>
          <w:t>частью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статьи 65 Водного кодекс Российской Федерации, ограничениями запрещаются:</w:t>
      </w:r>
    </w:p>
    <w:p w14:paraId="04BCB3CC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распашка земель;</w:t>
      </w:r>
    </w:p>
    <w:p w14:paraId="564A55E0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14:paraId="7CCD5820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6CBAB716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Прибрежные защитные полосы для водных объектов на территории города в настоящее время не установлены.</w:t>
      </w:r>
    </w:p>
    <w:p w14:paraId="520EC3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При отсутствии набережной ширина прибрежной защитной полосы измеряется от береговой линии.</w:t>
      </w:r>
    </w:p>
    <w:p w14:paraId="1B7860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в части соблюдения режимов прибрежных защитных полос относится учет их границ при формировании и предоставлении земельных участков для ведения хозяйственной деятельности в границах городского поселения, обеспечение соблюдения собственниками земельных участков требований режима прибрежных защитных полос при размещении объектов капитального строительства.</w:t>
      </w:r>
    </w:p>
    <w:p w14:paraId="7428B607" w14:textId="77777777" w:rsidR="009B369E" w:rsidRDefault="006D271D">
      <w:pPr>
        <w:pStyle w:val="4"/>
        <w:spacing w:before="119" w:line="360" w:lineRule="auto"/>
        <w:ind w:firstLine="709"/>
        <w:contextualSpacing/>
        <w:rPr>
          <w:b/>
          <w:szCs w:val="28"/>
        </w:rPr>
      </w:pPr>
      <w:bookmarkStart w:id="10" w:name="_Hlk97127175"/>
      <w:r>
        <w:rPr>
          <w:szCs w:val="28"/>
        </w:rPr>
        <w:lastRenderedPageBreak/>
        <w:t>Зоны охраны источников питьевого водоснабжения.</w:t>
      </w:r>
      <w:bookmarkEnd w:id="10"/>
    </w:p>
    <w:p w14:paraId="58DC3024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Градостроительные методы охраны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вод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хозяйственно-питьевого назначения включают организацию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зон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санитарной охраны (ЗСО) источников водоснабжения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4"/>
          <w:sz w:val="28"/>
          <w:szCs w:val="28"/>
        </w:rPr>
        <w:t>во</w:t>
      </w:r>
      <w:r>
        <w:rPr>
          <w:rFonts w:ascii="Times New Roman" w:hAnsi="Times New Roman" w:cs="Times New Roman"/>
          <w:spacing w:val="-5"/>
          <w:sz w:val="28"/>
          <w:szCs w:val="28"/>
        </w:rPr>
        <w:t>допроводов.</w:t>
      </w:r>
    </w:p>
    <w:p w14:paraId="122FA9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настоящем проекте внесения изменений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генеральный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pacing w:val="-5"/>
          <w:sz w:val="28"/>
          <w:szCs w:val="28"/>
        </w:rPr>
        <w:t>отображены зо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ны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санитарной охраны источников питьевого водоснабжения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четырнадцати водозаборов, расположенных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на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территории города.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утверждения </w:t>
      </w:r>
      <w:r>
        <w:rPr>
          <w:rFonts w:ascii="Times New Roman" w:hAnsi="Times New Roman" w:cs="Times New Roman"/>
          <w:spacing w:val="-6"/>
          <w:sz w:val="28"/>
          <w:szCs w:val="28"/>
        </w:rPr>
        <w:t>доку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ментации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по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установлению границ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зон </w:t>
      </w:r>
      <w:r>
        <w:rPr>
          <w:rFonts w:ascii="Times New Roman" w:hAnsi="Times New Roman" w:cs="Times New Roman"/>
          <w:spacing w:val="-5"/>
          <w:sz w:val="28"/>
          <w:szCs w:val="28"/>
        </w:rPr>
        <w:t>санитарной охраны источников необходимо вне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сение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изменений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генеральный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5"/>
          <w:sz w:val="28"/>
          <w:szCs w:val="28"/>
        </w:rPr>
        <w:t>правила землепользования застройки города Беслан.</w:t>
      </w:r>
    </w:p>
    <w:p w14:paraId="4992C7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Зоны санитарной охраны источников водоснабжения должны быть обозначены в натуре специальными знаками, население должно быть проинформировано про установление зон санитарной охраны источников водоснабжения и об ограничениях, которые вводятся на территории данных зон. Соблюдение санитарных правил является обязательным для граждан, индивидуальных предпринимателей и юридических лиц. За нарушение санитарного законодательства устанавливается дисциплинарная, административная и уголовная ответственность.</w:t>
      </w:r>
    </w:p>
    <w:p w14:paraId="1F0941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Бесланском месторождении подземных вод функционирует городской водозабор. В городе существует несколько группировок и одиночных скважин, по средствам которых, в том числе, осуществляется снабжение водой населений  </w:t>
      </w:r>
    </w:p>
    <w:p w14:paraId="412EF067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Зоны ограничений градостроительной деятельности по условиям добычи полезных ископаемых.</w:t>
      </w:r>
    </w:p>
    <w:p w14:paraId="40C97476" w14:textId="77777777" w:rsidR="009B369E" w:rsidRDefault="006D271D">
      <w:pPr>
        <w:pStyle w:val="af9"/>
        <w:spacing w:before="11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Месторождения полезных ископаемых находятся в федеральной собственности, использование территорий в границах их залегания возможно после извлечения.</w:t>
      </w:r>
    </w:p>
    <w:p w14:paraId="0B85B2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лицензией на пользование недрами для добычи полезных ископаемых, строительства и эксплуатации подземных сооружений, </w:t>
      </w:r>
      <w:r>
        <w:rPr>
          <w:rFonts w:ascii="Times New Roman" w:hAnsi="Times New Roman" w:cs="Times New Roman"/>
          <w:sz w:val="28"/>
          <w:szCs w:val="28"/>
        </w:rPr>
        <w:lastRenderedPageBreak/>
        <w:t>не связанных с добычей полезных ископаемых, образования особо охраняемых геологических объектов,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- геометризованного блока недр.</w:t>
      </w:r>
    </w:p>
    <w:p w14:paraId="232E02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планировании размещения объектов капитального строительства на территории муниципального образования необходимо учитывать ограничения, связанные с режимами деятельности на территориях залегания полезных ископаемых.</w:t>
      </w:r>
    </w:p>
    <w:p w14:paraId="372A1CE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причине ограниченных размеров территории городского поселения, из полезных ископаемых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территории 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представлено только песчано-гравийное сырье и месторождения подземных пресных вод.</w:t>
      </w:r>
    </w:p>
    <w:p w14:paraId="65A403F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 в части развития и установления зон с особыми условиями использования территорий по условиям охраны окружающей среды и санитарно-эпидемиологического благополучия:</w:t>
      </w:r>
    </w:p>
    <w:p w14:paraId="6038F518" w14:textId="77777777" w:rsidR="009B369E" w:rsidRDefault="006D271D">
      <w:pPr>
        <w:pStyle w:val="af2"/>
        <w:numPr>
          <w:ilvl w:val="0"/>
          <w:numId w:val="27"/>
        </w:numPr>
        <w:tabs>
          <w:tab w:val="clear" w:pos="1695"/>
          <w:tab w:val="num" w:pos="1134"/>
        </w:tabs>
        <w:spacing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Формирование реестра предприятий и иных объектов, являющихся источниками негативного воздействия на окружающую среду (первая очередь);</w:t>
      </w:r>
    </w:p>
    <w:p w14:paraId="041F75CF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Подготовка и принятие муниципальной целевой программы, направленной на обеспечение санитарно-эпидемиологического благополучия селитебных территорий (первая</w:t>
      </w:r>
      <w:r>
        <w:rPr>
          <w:rFonts w:cs="Times New Roman"/>
          <w:iCs/>
          <w:spacing w:val="-5"/>
          <w:szCs w:val="28"/>
        </w:rPr>
        <w:t xml:space="preserve"> </w:t>
      </w:r>
      <w:r>
        <w:rPr>
          <w:rFonts w:cs="Times New Roman"/>
          <w:iCs/>
          <w:szCs w:val="28"/>
        </w:rPr>
        <w:t>очередь);</w:t>
      </w:r>
    </w:p>
    <w:p w14:paraId="45F742BE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Вынос полигона ТБО за границы городского поселения (первая очередь);</w:t>
      </w:r>
    </w:p>
    <w:p w14:paraId="39C843DF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административными мерами соблюдения санитарных разрывов от закрытых кладбищ до жилых домов не менее 50 м., от действующего кладбища не менее 300 м. (весь</w:t>
      </w:r>
      <w:r>
        <w:rPr>
          <w:rFonts w:cs="Times New Roman"/>
          <w:iCs/>
          <w:spacing w:val="-7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52E09B7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административными мерами подготовки проектов санитарно-защитных зон собственниками промышленных, коммунальных и сельскохозяйственных предприятий (весь</w:t>
      </w:r>
      <w:r>
        <w:rPr>
          <w:rFonts w:cs="Times New Roman"/>
          <w:iCs/>
          <w:spacing w:val="-11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DB96C8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административными мерами выполнения </w:t>
      </w:r>
      <w:r>
        <w:rPr>
          <w:rFonts w:cs="Times New Roman"/>
          <w:iCs/>
          <w:szCs w:val="28"/>
        </w:rPr>
        <w:lastRenderedPageBreak/>
        <w:t>шумозащитных мероприятий собственником железной дороги с целью сокращения размеров санитарно-защитной зоны от железной дороги (расчетный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1D84CB96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административными мерами соблюдения собственниками земельных участков санитарных разрывов,</w:t>
      </w:r>
      <w:r>
        <w:rPr>
          <w:rFonts w:cs="Times New Roman"/>
          <w:iCs/>
          <w:spacing w:val="48"/>
          <w:szCs w:val="28"/>
        </w:rPr>
        <w:t xml:space="preserve"> </w:t>
      </w:r>
      <w:r>
        <w:rPr>
          <w:rFonts w:cs="Times New Roman"/>
          <w:iCs/>
          <w:szCs w:val="28"/>
        </w:rPr>
        <w:t>установленных действующим законодательством, при размещении объектов капитального строительства (весь период);</w:t>
      </w:r>
    </w:p>
    <w:p w14:paraId="0A8305D9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Учет санитарных разрывов при формировании и предоставлении земельных участков для ведения хозяйственной деятельности и разрешений на строительство в границах города Беслана (весь период);</w:t>
      </w:r>
    </w:p>
    <w:p w14:paraId="5F840CD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соблюдения санитарных разрывов от магистральных линейных объектов инженерных и транспортных коммуникаций при подготовке документации по планировке территорий (весь </w:t>
      </w:r>
      <w:r>
        <w:rPr>
          <w:rFonts w:cs="Times New Roman"/>
          <w:iCs/>
          <w:spacing w:val="3"/>
          <w:szCs w:val="28"/>
        </w:rPr>
        <w:t>пе</w:t>
      </w:r>
      <w:r>
        <w:rPr>
          <w:rFonts w:cs="Times New Roman"/>
          <w:iCs/>
          <w:szCs w:val="28"/>
        </w:rPr>
        <w:t>риод);</w:t>
      </w:r>
    </w:p>
    <w:p w14:paraId="67ED074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9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соблюдения режимов водоохранных зон и прибрежных защитных полос при подготовке документации по планировке </w:t>
      </w:r>
      <w:r>
        <w:rPr>
          <w:rFonts w:cs="Times New Roman"/>
          <w:iCs/>
          <w:spacing w:val="2"/>
          <w:szCs w:val="28"/>
        </w:rPr>
        <w:t>тер</w:t>
      </w:r>
      <w:r>
        <w:rPr>
          <w:rFonts w:cs="Times New Roman"/>
          <w:iCs/>
          <w:szCs w:val="28"/>
        </w:rPr>
        <w:t>риторий (весь</w:t>
      </w:r>
      <w:r>
        <w:rPr>
          <w:rFonts w:cs="Times New Roman"/>
          <w:iCs/>
          <w:spacing w:val="-3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B3D9FC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соблюдения режимов водоохранных зон и прибрежных защитных полос при выделении земельных участков и разрешений на строительство (весь</w:t>
      </w:r>
      <w:r>
        <w:rPr>
          <w:rFonts w:cs="Times New Roman"/>
          <w:iCs/>
          <w:spacing w:val="-4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5626DBAC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Подготовка проектов прибрежных защитных полос для водоемов на территории городского поселения (первая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очередь);</w:t>
      </w:r>
    </w:p>
    <w:p w14:paraId="2BC63B8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Разработка проектов организации зон санитарной охраны источников питьевого водоснабжения (расчетный</w:t>
      </w:r>
      <w:r>
        <w:rPr>
          <w:rFonts w:cs="Times New Roman"/>
          <w:iCs/>
          <w:spacing w:val="-3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6EE6DFBE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Оборудование зон санитарной охраны источников питьевого водоснабжения (расчетный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2A226839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Учет ограничений, связанных с режимами деятельности на территориях залегания полезных ископаемых, при планировании размещения объектов капитального строительства (весь</w:t>
      </w:r>
      <w:r>
        <w:rPr>
          <w:rFonts w:cs="Times New Roman"/>
          <w:iCs/>
          <w:spacing w:val="-11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5051147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обозначения на местности границ зон с особыми условиями использования территории (расчетный</w:t>
      </w:r>
      <w:r>
        <w:rPr>
          <w:rFonts w:cs="Times New Roman"/>
          <w:iCs/>
          <w:spacing w:val="-5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2E74779B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lastRenderedPageBreak/>
        <w:t>Внесение изменений в генеральный план и правила землепользования города Беслана в части установления либо изменения границ зон с особыми условиями использования территорий (весь</w:t>
      </w:r>
      <w:r>
        <w:rPr>
          <w:rFonts w:cs="Times New Roman"/>
          <w:iCs/>
          <w:spacing w:val="-9"/>
          <w:szCs w:val="28"/>
        </w:rPr>
        <w:t xml:space="preserve"> </w:t>
      </w:r>
      <w:r>
        <w:rPr>
          <w:rFonts w:cs="Times New Roman"/>
          <w:iCs/>
          <w:szCs w:val="28"/>
        </w:rPr>
        <w:t>период).</w:t>
      </w:r>
    </w:p>
    <w:p w14:paraId="451D5298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F67088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города Беслан находятся следующие зоны с особыми условиями использования территорий и зоны планировочных ограничений, связанные с обеспечением безопасности функционирования и сохранности различных объектов:</w:t>
      </w:r>
    </w:p>
    <w:p w14:paraId="5947C6AE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полоса отвода автомобильной дороги федерального значения (старая трасса);  </w:t>
      </w:r>
    </w:p>
    <w:p w14:paraId="319DE0AC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полосы отвода железных дорог;</w:t>
      </w:r>
    </w:p>
    <w:p w14:paraId="10C0E9B3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охранные зоны воздушных линий электропередачи.</w:t>
      </w:r>
    </w:p>
    <w:p w14:paraId="53D228E1" w14:textId="77777777" w:rsidR="009B369E" w:rsidRDefault="006D271D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  <w:t>полосы отвода и охранные зоны линейных объектов инженерной и транспортной инфраструктуры устанавливаются с целью обеспечения их сохранности и бесперебойного функционирования. Соблюдение режимов таких охранных зон является непременным условием градостроительного освоения территории муниципального образования.</w:t>
      </w:r>
    </w:p>
    <w:p w14:paraId="40772A10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Требуется установление полос отвода для автомобильных дорог муниципального значения, постановка их на кадастровый учёт.</w:t>
      </w:r>
    </w:p>
    <w:p w14:paraId="369577FD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Проектирование и развитие автомобильных дорог регионального значения повлечет за собой необходимость установления полос отвода новых элементов транспортной инфраструктуры.</w:t>
      </w:r>
    </w:p>
    <w:p w14:paraId="1F28E606" w14:textId="77777777" w:rsidR="009B369E" w:rsidRDefault="006D271D">
      <w:pPr>
        <w:spacing w:line="360" w:lineRule="auto"/>
        <w:ind w:firstLine="709"/>
        <w:contextualSpacing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Мероприятия в части развития и установления зон с особыми условиями использования территорий, связанных с обеспечением безопасности функционирования и сохранности различных объектов:</w:t>
      </w:r>
    </w:p>
    <w:p w14:paraId="7F0D4819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Предотвращение стихийной застройки охранных зон линейных объектов инженерной и транспортной инфраструктуры (весь период);</w:t>
      </w:r>
    </w:p>
    <w:p w14:paraId="3B93D1B5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Информирование собственников земельных участков и застройщиков о наличии ограничений по условиям охраны линейных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объектов инженерной и транспортной инфраструктуры (весь период);</w:t>
      </w:r>
    </w:p>
    <w:p w14:paraId="30E0D283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Обеспечение административными мерами выполнения требований проведения согласований с собственниками железных и автомобильных дорог и линейных инженерных коммуникаций в части размещения объектов капитального строительства в границах их охранных зон (весь период).</w:t>
      </w:r>
    </w:p>
    <w:p w14:paraId="3BF8C98D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планировочным ограничениям градостроительной деятельности на территории города Беслан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14:paraId="5258F785" w14:textId="77777777" w:rsidR="009B369E" w:rsidRDefault="006D271D">
      <w:pPr>
        <w:pStyle w:val="af2"/>
        <w:widowControl w:val="0"/>
        <w:numPr>
          <w:ilvl w:val="0"/>
          <w:numId w:val="29"/>
        </w:numPr>
        <w:tabs>
          <w:tab w:val="left" w:pos="1699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Ограничения по геоморфологическим условиям, к которым отнесены территории, имеющие уклон более</w:t>
      </w:r>
      <w:r>
        <w:rPr>
          <w:rFonts w:cs="Times New Roman"/>
          <w:spacing w:val="2"/>
          <w:szCs w:val="28"/>
        </w:rPr>
        <w:t xml:space="preserve"> </w:t>
      </w:r>
      <w:r>
        <w:rPr>
          <w:rFonts w:cs="Times New Roman"/>
          <w:szCs w:val="28"/>
        </w:rPr>
        <w:t>10%;</w:t>
      </w:r>
    </w:p>
    <w:p w14:paraId="3A1C863A" w14:textId="77777777" w:rsidR="009B369E" w:rsidRDefault="006D271D">
      <w:pPr>
        <w:pStyle w:val="af2"/>
        <w:widowControl w:val="0"/>
        <w:numPr>
          <w:ilvl w:val="0"/>
          <w:numId w:val="29"/>
        </w:numPr>
        <w:tabs>
          <w:tab w:val="left" w:pos="1699"/>
        </w:tabs>
        <w:spacing w:before="119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Ограничения, обусловленные инженерно-геологическими характеристиками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территории.</w:t>
      </w:r>
    </w:p>
    <w:p w14:paraId="735641E6" w14:textId="77777777" w:rsidR="009B369E" w:rsidRDefault="006D271D">
      <w:pPr>
        <w:pStyle w:val="af9"/>
        <w:spacing w:before="12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Территории, неблагоприятные в геоморфологическом отношении, требуют значительных капиталовложений при их освоении, поэтому при планировании градостроительного освоения подобных территорий необходимо проведение предварительных изысканий и оценок целесообразности строительства. Сложные условия рельефа способствуют возникновению деформаций и разрушений объектов капитального строительства в случае невыполнения мероприятий по инженерной защите территорий и строений и т.д. Органами местного самоуправления необходимо принимать меры по предотвращению застройки и освоения подобных территорий в отсутствие изыскательской и проектной документации.</w:t>
      </w:r>
    </w:p>
    <w:p w14:paraId="4F2B04C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Ограничения, обусловленные инженерно-геологическими характеристиками территории, также требуют определённых градостроительных, архитектурно-планировочных и конструктивных решений, описанных в нормативных документах.</w:t>
      </w:r>
    </w:p>
    <w:p w14:paraId="4063E3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влияние на активизацию современных экзогенных процессов оказывает антропогенная деятельность. В отдельных случаях она приводит к стабилизации природных экзогенных процессов (закрепление склонов) 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изменению направления их развития (отвод русел рек), но гораздо чаще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техногенез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резко усиливает эти процессы и порождает новые проблемы.</w:t>
      </w:r>
    </w:p>
    <w:p w14:paraId="5328B839" w14:textId="77777777" w:rsidR="009B369E" w:rsidRDefault="006D271D">
      <w:pPr>
        <w:pStyle w:val="af9"/>
        <w:spacing w:before="10" w:after="240"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 качестве мероприятий в части учёта планировочных ограничений проектом предлагается:</w:t>
      </w:r>
    </w:p>
    <w:p w14:paraId="5C304BFB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Обеспечение административными мерами проведения инженерно- геологических изысканий в случае планируемого освоения под застройку территорий, неблагоприятных в инженерно-геологическом отношении (первая очередь);</w:t>
      </w:r>
    </w:p>
    <w:p w14:paraId="43DFBDE4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Обеспечение выполнения мероприятий по инженерной защите в случае планируемого освоения под застройку территорий, неблагоприятных в инженерно-геологическом отношении (первая очередь);</w:t>
      </w:r>
    </w:p>
    <w:p w14:paraId="7984A845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Учёт ограничений по геоморфологическим и инженерно- геологическим условиям в документах по планировке территорий (весь период);</w:t>
      </w:r>
    </w:p>
    <w:p w14:paraId="7138541A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Выполнение комплекса мероприятий, направленных на предотвращение активизации неблагоприятных геологических явлений при размещении объектов капитального строительства (весь период).</w:t>
      </w:r>
    </w:p>
    <w:p w14:paraId="18FF5F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Беслана расположены 34 объекта культурного наследия, представленные памятниками истории и искусства.</w:t>
      </w:r>
    </w:p>
    <w:p w14:paraId="17F269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границы территорий и границы зон охраны объектов культурного наследия, расположенных на территории городского поселения, не установлены в связи с отсутствием разработанных и утверждённых проектов зон охраны.</w:t>
      </w:r>
    </w:p>
    <w:p w14:paraId="49B9056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расчётный срок требуется привлечение специализированной в области сохранения недвижимых объектов культурного наследия организации для разработки проектов зон охраны объектов культурного наследия, поставленных на государственную охрану. Необходима разработка режимов содержания, касающихся размеров и пропорций зданий и сооружений, использования отдельных строительных материалов, цветового решения, запрета или ограничения размещения автостоянок, рекламы и вывесок,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>ограничений, необходимых для обеспечения сохранности объектов.</w:t>
      </w:r>
    </w:p>
    <w:p w14:paraId="5A10895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утверждения проекта зон охраны памятника (согласно действующему законодательству) в силу вступят постоянные границы зон охраны с определённым режимом содержания.</w:t>
      </w:r>
    </w:p>
    <w:p w14:paraId="4771E1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Уполномоченному органу в области сохранения, использования, популяризации и государственной охраны объектов культурного наследия необходимо:</w:t>
      </w:r>
    </w:p>
    <w:p w14:paraId="76EEEC26" w14:textId="77777777" w:rsidR="009B369E" w:rsidRDefault="006D271D">
      <w:pPr>
        <w:pStyle w:val="af9"/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Заказать специализированной (в области сохранения недвижимых объектов культурного наследия) организации разработку проектов зон охраны объектов культурного наследия. Разработать режимы содержания, необходимые для обеспечения сохранности данного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14:paraId="46E666BD" w14:textId="77777777" w:rsidR="009B369E" w:rsidRDefault="006D271D">
      <w:pPr>
        <w:pStyle w:val="af9"/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зон охраны памятников и режим их содержания, устанавливаемый в пределах зон охраны, согласовать с уполномоченным органом в области сохранения, использования, популяризации и государственной охраны объектов культурного наследия в порядке, установленном законодательством Республики Северная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Осетия-Алания.</w:t>
      </w:r>
    </w:p>
    <w:p w14:paraId="10004119" w14:textId="77777777" w:rsidR="009B369E" w:rsidRDefault="006D271D">
      <w:pPr>
        <w:pStyle w:val="af9"/>
        <w:spacing w:before="11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должна проводиться в соответствии с пунктом 13 статьи 14 Федерального закона РФ от 06.10.2003 № 131-ФЗ «Об общих принципах организации местного самоуправления в Российской Федерации», статьей 17 Федерального закона от 25.06.2002 № 73-ФЗ «Об объектах культурного наследия (памятниках истории и культуры) народов Российской Федерации», Законом Республики Северная Осетия-Алания от 24.08.2005 № 53-рз «О сохранении, использовании и государственной охране объектов культурного наследия (памятниках истории и культуры) народов Российской Федерации в Республике Северная Осетия-Алания».</w:t>
      </w:r>
    </w:p>
    <w:p w14:paraId="74CE06CA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Зоны охраны объектов культурного наследия.</w:t>
      </w:r>
    </w:p>
    <w:p w14:paraId="1EE761C1" w14:textId="77777777" w:rsidR="009B369E" w:rsidRDefault="006D271D">
      <w:pPr>
        <w:pStyle w:val="af9"/>
        <w:spacing w:before="114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34 Федерального закона от 25.06.2002 № 73-ФЗ «Об объектах культурного наследия (памятниках истории и культуры) народов Российской Федерации» в целях обеспечения сохранности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в его исторической среде на сопряженной с ним территории устанавливаются зоны охраны объекта культурного наследия; охранная зона, зона регулирования застройки и хозяйственной деятельности, зона охраняемого природного ландшафта.</w:t>
      </w:r>
    </w:p>
    <w:p w14:paraId="2D9DF20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14:paraId="1F5A79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Положения о зонах охраны объекта культурного наследия (памятниках истории и культуры) народов Российской Федерации, утвержденного Постановлением Правительства Российской Федерации от 26.04.2008 № 315, установлен порядок разработки проектов зон охраны объекта культурного наследия, требования к режимам использования земель и градостроительным регламентам в границах данных зон.</w:t>
      </w:r>
    </w:p>
    <w:p w14:paraId="6CF58729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зон охраны объекта культурного наследия,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– органом государственной власти субъекта Российской Федерации по согласованию с федеральным органом охраны объектов культурного наследия, а в отношении объектов культурного наследия регионального значения и объектов культурного наследия местного (муниципального) значения – в порядке, установленном законами субъектов Российской Федерации.</w:t>
      </w:r>
    </w:p>
    <w:p w14:paraId="224F1C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разработать проекты зон охраны объектов культурного наследия, расположенных на территории муниципального образования. После разработки и утверждения границ территорий и границ зон охраны объектов культурного наследия необходимо внести изменения в генеральный план города Беслана в части нанесения на карты (схемы) ограничений границ территорий и границ зон охраны объектов культурного наследия. Указанные изменения необходимо вносить и в Правила землепользования и застройки города.</w:t>
      </w:r>
    </w:p>
    <w:p w14:paraId="5006C2A8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lastRenderedPageBreak/>
        <w:t>Ограничения использования земельных участков, связанные с расположенными на территории городского поселения объектами культурного наследия.</w:t>
      </w:r>
    </w:p>
    <w:p w14:paraId="2E668FC8" w14:textId="77777777" w:rsidR="009B369E" w:rsidRDefault="006D271D">
      <w:pPr>
        <w:pStyle w:val="af9"/>
        <w:spacing w:before="114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ст. ст. 35, 36 Федерального закона от 26.06.2002 № 73-ФЗ «Об объектах культурного наследия (памятниках истории и культуры) народов Российской Федерации» проектирование и проведение землеустроительных, земляных, строительных, мелиоративных, хозяйственных и иных работ на территории памятника или ансамбля запрещается, за исключением работ по сохранению данного памятника или ансамбля и (или) их территорий, а также хозяйственной деятельности, не нарушающей целостности памятника или ансамбля и не создающей угрозы их повреждения, разрушения или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уничтожения.</w:t>
      </w:r>
    </w:p>
    <w:p w14:paraId="2FA6C2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и проведение землеустроительных, земляных, строительных, мелиоративных, хозяйственных и иных работ осуществляются при отсутствии на данной территории объектов культурного наследия, включенных в реестр,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наследия, указанных в пункте 3 ст. 36 федерального закона.</w:t>
      </w:r>
    </w:p>
    <w:p w14:paraId="2B91AF35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Мероприятия в части охраны объектов культурного наследия</w:t>
      </w:r>
    </w:p>
    <w:p w14:paraId="0EFB504F" w14:textId="77777777" w:rsidR="009B369E" w:rsidRDefault="006D271D">
      <w:pPr>
        <w:spacing w:before="121" w:line="360" w:lineRule="auto"/>
        <w:ind w:firstLine="709"/>
        <w:contextualSpacing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Таким образом, в качестве мероприятий в части охраны культурного наследия проектом предлагается:</w:t>
      </w:r>
    </w:p>
    <w:p w14:paraId="5A44A82F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Оказание содействия уполномоченным органам в проведении работ по выявлению объектов культурного наследия (первая очередь);</w:t>
      </w:r>
    </w:p>
    <w:p w14:paraId="16F509D7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/>
          <w:szCs w:val="28"/>
        </w:rPr>
      </w:pPr>
      <w:r>
        <w:rPr>
          <w:rFonts w:eastAsia="Times New Roman" w:cs="Times New Roman"/>
          <w:iCs/>
          <w:szCs w:val="28"/>
          <w:lang w:eastAsia="ru-RU" w:bidi="ru-RU"/>
        </w:rPr>
        <w:t>Разработка специализированной в области сохранения недвижимых объектов культурного наследия организацией проектов зон охраны объектов культурного наследия (расчётный срок);</w:t>
      </w:r>
    </w:p>
    <w:p w14:paraId="51872CC2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/>
          <w:szCs w:val="28"/>
        </w:rPr>
      </w:pPr>
      <w:r>
        <w:rPr>
          <w:rFonts w:cs="Times New Roman"/>
          <w:bCs/>
          <w:szCs w:val="28"/>
        </w:rPr>
        <w:t xml:space="preserve">Разработка режимов содержания, касающихся размеров и пропорций зданий и сооружений, использования отдельных строительных </w:t>
      </w:r>
      <w:r>
        <w:rPr>
          <w:rFonts w:cs="Times New Roman"/>
          <w:bCs/>
          <w:szCs w:val="28"/>
        </w:rPr>
        <w:lastRenderedPageBreak/>
        <w:t>материалов, цветового решения, запрета или ограничения размещения автостоянок, рекламы и вывесок, других ограничений, необходимых для обеспечения сохранности объектов культурного наследия (расчётный срок);</w:t>
      </w:r>
    </w:p>
    <w:p w14:paraId="49CCFC65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Согласование проектов зон охраны памятников и режима их содержания, устанавливаемого в пределах зон охраны, с уполномоченным органом в области сохранения, использования, популяризации и государственной охраны объектов культурного наследия в порядке, установленном законодательством РСО-Алания (расчётный срок);</w:t>
      </w:r>
    </w:p>
    <w:p w14:paraId="57FB9A70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Постановка на кадастровый учёт объектов культурного наследия на территории городского поселения, а также границ их охранных зон (расчётный срок – перспектива);</w:t>
      </w:r>
    </w:p>
    <w:p w14:paraId="6A609C2B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Информирование уполномоченных органов о фактах нарушений законодательства об охране культурного наследия (весь период);</w:t>
      </w:r>
    </w:p>
    <w:p w14:paraId="17540387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Учет границ территорий объектов культурного наследия и охранных зон в документации по планировке территорий (весь период);</w:t>
      </w:r>
    </w:p>
    <w:p w14:paraId="0D1806B9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Проведение работ по сохранению и восстановлению объектов культурного наследия, находящихся в муниципальной собственности (весь период);</w:t>
      </w:r>
    </w:p>
    <w:p w14:paraId="6DC68EEB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Создание базы данных об объектах культурного наследия на территории городского поселения, включающей описание объекта, фотоматериалы, схемы размещения, правоустанавливающие документы и т.д. (первая очередь);</w:t>
      </w:r>
    </w:p>
    <w:p w14:paraId="7565B18C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Обозначение объектов культурного наследия на местности – установка указателей, дорожных знаков, информационных щитов, схем расположения объектов и маршрутов к ним (первая очередь – расчётный срок);</w:t>
      </w:r>
    </w:p>
    <w:p w14:paraId="59594284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Привлечение инвестиций для реализации мероприятий по спасению, сохранению, восстановлению и популяризации объектов культурного наследия (весь период).</w:t>
      </w:r>
    </w:p>
    <w:p w14:paraId="5059A921" w14:textId="77777777" w:rsidR="009B369E" w:rsidRDefault="009B369E">
      <w:pPr>
        <w:widowControl w:val="0"/>
        <w:tabs>
          <w:tab w:val="left" w:pos="1658"/>
          <w:tab w:val="left" w:pos="1659"/>
        </w:tabs>
        <w:spacing w:before="122" w:after="0" w:line="360" w:lineRule="auto"/>
        <w:rPr>
          <w:rFonts w:cs="Times New Roman"/>
          <w:szCs w:val="28"/>
        </w:rPr>
      </w:pPr>
    </w:p>
    <w:p w14:paraId="1ABA3567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1" w:name="_Toc88723899"/>
      <w:r>
        <w:rPr>
          <w:rFonts w:ascii="Arial Narrow" w:hAnsi="Arial Narrow"/>
        </w:rPr>
        <w:lastRenderedPageBreak/>
        <w:t>Раздел 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</w:r>
      <w:bookmarkEnd w:id="11"/>
    </w:p>
    <w:p w14:paraId="749F5ECC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t>Документы территориального планирования федерального уровня</w:t>
      </w:r>
      <w:r>
        <w:rPr>
          <w:rFonts w:cs="Times New Roman"/>
        </w:rPr>
        <w:t>.</w:t>
      </w:r>
    </w:p>
    <w:p w14:paraId="2104A2A9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</w:rPr>
        <w:t>На момент разработки Генерального плана Бесланского городского поселения объектов федерального уровня, планируемых к размещению в границах городского поселения, предусмотренных документами территориального планирования нет.</w:t>
      </w:r>
    </w:p>
    <w:p w14:paraId="49E0EC42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t>Документы территориального планирования регионального уровня.</w:t>
      </w:r>
    </w:p>
    <w:p w14:paraId="54D4890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документом территориального планирования РСО-Алания является Схема территориального планирования РСО-Алания.</w:t>
      </w:r>
    </w:p>
    <w:p w14:paraId="78999E5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Перечень объектов регионального уровня, отображенных в схеме территориального планирования Республики Северная Осетия-Алания и имеющих отношение к Бесланскому городскому поселению:</w:t>
      </w:r>
    </w:p>
    <w:p w14:paraId="385C76C7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tbl>
      <w:tblPr>
        <w:tblStyle w:val="af"/>
        <w:tblW w:w="10378" w:type="dxa"/>
        <w:jc w:val="center"/>
        <w:tblLook w:val="04A0" w:firstRow="1" w:lastRow="0" w:firstColumn="1" w:lastColumn="0" w:noHBand="0" w:noVBand="1"/>
      </w:tblPr>
      <w:tblGrid>
        <w:gridCol w:w="2230"/>
        <w:gridCol w:w="2061"/>
        <w:gridCol w:w="2037"/>
        <w:gridCol w:w="2071"/>
        <w:gridCol w:w="2037"/>
      </w:tblGrid>
      <w:tr w:rsidR="009B369E" w14:paraId="08C6F1D4" w14:textId="77777777">
        <w:trPr>
          <w:trHeight w:val="1889"/>
          <w:jc w:val="center"/>
        </w:trPr>
        <w:tc>
          <w:tcPr>
            <w:tcW w:w="2171" w:type="dxa"/>
            <w:vAlign w:val="center"/>
          </w:tcPr>
          <w:p w14:paraId="4E457DD8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Вид объекта</w:t>
            </w:r>
          </w:p>
        </w:tc>
        <w:tc>
          <w:tcPr>
            <w:tcW w:w="2062" w:type="dxa"/>
            <w:vAlign w:val="center"/>
          </w:tcPr>
          <w:p w14:paraId="5AF9A13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Назначение объекта</w:t>
            </w:r>
          </w:p>
        </w:tc>
        <w:tc>
          <w:tcPr>
            <w:tcW w:w="2037" w:type="dxa"/>
            <w:vAlign w:val="center"/>
          </w:tcPr>
          <w:p w14:paraId="35AB458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2071" w:type="dxa"/>
            <w:vAlign w:val="center"/>
          </w:tcPr>
          <w:p w14:paraId="06961D0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Местоположение</w:t>
            </w:r>
          </w:p>
        </w:tc>
        <w:tc>
          <w:tcPr>
            <w:tcW w:w="2037" w:type="dxa"/>
            <w:vAlign w:val="center"/>
          </w:tcPr>
          <w:p w14:paraId="47E3C9F1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Характеристики зоны с особыми условиями использования территории</w:t>
            </w:r>
          </w:p>
        </w:tc>
      </w:tr>
      <w:tr w:rsidR="009B369E" w14:paraId="47BD4DD2" w14:textId="77777777">
        <w:trPr>
          <w:trHeight w:val="3400"/>
          <w:jc w:val="center"/>
        </w:trPr>
        <w:tc>
          <w:tcPr>
            <w:tcW w:w="2171" w:type="dxa"/>
            <w:vAlign w:val="center"/>
          </w:tcPr>
          <w:p w14:paraId="53380C3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Железнодорожные пути общего пользования</w:t>
            </w:r>
          </w:p>
          <w:p w14:paraId="283A38CF" w14:textId="3CB188AF" w:rsidR="009B369E" w:rsidRDefault="006D271D">
            <w:pPr>
              <w:pStyle w:val="TableParagraph"/>
              <w:spacing w:before="2" w:line="276" w:lineRule="exact"/>
              <w:ind w:left="156" w:right="156"/>
              <w:jc w:val="center"/>
              <w:rPr>
                <w:rFonts w:cstheme="minorBidi"/>
                <w:lang w:eastAsia="en-US" w:bidi="ar-SA"/>
              </w:rPr>
            </w:pPr>
            <w:r>
              <w:rPr>
                <w:rFonts w:cstheme="minorBidi"/>
                <w:lang w:eastAsia="en-US" w:bidi="ar-SA"/>
              </w:rPr>
              <w:t>(</w:t>
            </w:r>
            <w:r w:rsidR="004C73D8">
              <w:rPr>
                <w:rFonts w:cstheme="minorBidi"/>
                <w:lang w:eastAsia="en-US" w:bidi="ar-SA"/>
              </w:rPr>
              <w:t>Схема территориального планирования Российской</w:t>
            </w:r>
          </w:p>
          <w:p w14:paraId="5CA21CF6" w14:textId="04FA9A81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Федерации </w:t>
            </w:r>
            <w:r w:rsidR="004C73D8">
              <w:rPr>
                <w:sz w:val="22"/>
              </w:rPr>
              <w:t>в области федерального транспорта</w:t>
            </w:r>
            <w:r>
              <w:rPr>
                <w:sz w:val="22"/>
              </w:rPr>
              <w:t>)</w:t>
            </w:r>
          </w:p>
        </w:tc>
        <w:tc>
          <w:tcPr>
            <w:tcW w:w="2062" w:type="dxa"/>
            <w:vAlign w:val="center"/>
          </w:tcPr>
          <w:p w14:paraId="523DF94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Выноса движения поездов с транзитными опасными грузами за пределы города</w:t>
            </w:r>
          </w:p>
        </w:tc>
        <w:tc>
          <w:tcPr>
            <w:tcW w:w="2037" w:type="dxa"/>
            <w:vAlign w:val="center"/>
          </w:tcPr>
          <w:p w14:paraId="2E9233C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Протяженность 11км</w:t>
            </w:r>
          </w:p>
        </w:tc>
        <w:tc>
          <w:tcPr>
            <w:tcW w:w="2071" w:type="dxa"/>
            <w:vAlign w:val="center"/>
          </w:tcPr>
          <w:p w14:paraId="39D9183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Конкретное (определенное с геодезической</w:t>
            </w:r>
            <w:r>
              <w:rPr>
                <w:sz w:val="22"/>
              </w:rPr>
              <w:br/>
              <w:t>точностью) местоположение планируемого к размещению железнодорожного обхода будет определено на этапах подготовки документации по планировке</w:t>
            </w:r>
            <w:r>
              <w:rPr>
                <w:sz w:val="22"/>
              </w:rPr>
              <w:br/>
              <w:t>территории и подготовки проектной документации и по результату их утверждения)</w:t>
            </w:r>
          </w:p>
        </w:tc>
        <w:tc>
          <w:tcPr>
            <w:tcW w:w="2037" w:type="dxa"/>
            <w:vAlign w:val="center"/>
          </w:tcPr>
          <w:p w14:paraId="58837F7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 соответствии с Постановлением от 12 октября 2006 г. № 611 «О порядке установления и использования полос отвода и охранных зон железных дорог»</w:t>
            </w:r>
          </w:p>
        </w:tc>
      </w:tr>
      <w:tr w:rsidR="009B369E" w14:paraId="4665D45E" w14:textId="77777777">
        <w:trPr>
          <w:trHeight w:val="2282"/>
          <w:jc w:val="center"/>
        </w:trPr>
        <w:tc>
          <w:tcPr>
            <w:tcW w:w="2171" w:type="dxa"/>
            <w:vAlign w:val="center"/>
          </w:tcPr>
          <w:p w14:paraId="445F527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Реконструкция остановочного пункта автостанция в г. Беслан</w:t>
            </w:r>
          </w:p>
          <w:p w14:paraId="17EBB5F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 до</w:t>
            </w:r>
          </w:p>
          <w:p w14:paraId="48B1701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2026 г)</w:t>
            </w:r>
          </w:p>
          <w:p w14:paraId="5A252F1D" w14:textId="77777777" w:rsidR="009B369E" w:rsidRDefault="009B369E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</w:p>
        </w:tc>
        <w:tc>
          <w:tcPr>
            <w:tcW w:w="2062" w:type="dxa"/>
            <w:vAlign w:val="center"/>
          </w:tcPr>
          <w:p w14:paraId="5F8D5DC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Развитие транспортной инфраструктуры и комфортной среды для жителей г. Беслан</w:t>
            </w:r>
          </w:p>
        </w:tc>
        <w:tc>
          <w:tcPr>
            <w:tcW w:w="2037" w:type="dxa"/>
            <w:vAlign w:val="center"/>
          </w:tcPr>
          <w:p w14:paraId="4D545B6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071" w:type="dxa"/>
            <w:vAlign w:val="center"/>
          </w:tcPr>
          <w:p w14:paraId="3842BD9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 районе действующего </w:t>
            </w:r>
            <w:proofErr w:type="spellStart"/>
            <w:r>
              <w:rPr>
                <w:sz w:val="22"/>
              </w:rPr>
              <w:t>ж.д</w:t>
            </w:r>
            <w:proofErr w:type="spellEnd"/>
            <w:r>
              <w:rPr>
                <w:sz w:val="22"/>
              </w:rPr>
              <w:t>. вокзала</w:t>
            </w:r>
          </w:p>
        </w:tc>
        <w:tc>
          <w:tcPr>
            <w:tcW w:w="2037" w:type="dxa"/>
            <w:vAlign w:val="center"/>
          </w:tcPr>
          <w:p w14:paraId="7370B89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25B5EEE6" w14:textId="77777777">
        <w:trPr>
          <w:trHeight w:val="1878"/>
          <w:jc w:val="center"/>
        </w:trPr>
        <w:tc>
          <w:tcPr>
            <w:tcW w:w="2171" w:type="dxa"/>
            <w:vAlign w:val="center"/>
          </w:tcPr>
          <w:p w14:paraId="4B90E27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Реконструкция берегоукрепления на р. Терек в границах г. Беслан</w:t>
            </w:r>
          </w:p>
          <w:p w14:paraId="104C60D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 до</w:t>
            </w:r>
          </w:p>
          <w:p w14:paraId="5D2C1D1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2030 г)</w:t>
            </w:r>
          </w:p>
        </w:tc>
        <w:tc>
          <w:tcPr>
            <w:tcW w:w="2062" w:type="dxa"/>
            <w:vAlign w:val="center"/>
          </w:tcPr>
          <w:p w14:paraId="0065581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Создание безопасной комфортной среды для жителей</w:t>
            </w:r>
          </w:p>
          <w:p w14:paraId="4AF16EE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г. Беслан</w:t>
            </w:r>
          </w:p>
        </w:tc>
        <w:tc>
          <w:tcPr>
            <w:tcW w:w="2037" w:type="dxa"/>
            <w:vAlign w:val="center"/>
          </w:tcPr>
          <w:p w14:paraId="2B387A2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 соответствии с разработанной ПСД</w:t>
            </w:r>
          </w:p>
        </w:tc>
        <w:tc>
          <w:tcPr>
            <w:tcW w:w="2071" w:type="dxa"/>
            <w:vAlign w:val="center"/>
          </w:tcPr>
          <w:p w14:paraId="30B1D63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Южная часть</w:t>
            </w:r>
          </w:p>
          <w:p w14:paraId="31731B5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г. Беслан</w:t>
            </w:r>
          </w:p>
        </w:tc>
        <w:tc>
          <w:tcPr>
            <w:tcW w:w="2037" w:type="dxa"/>
            <w:vAlign w:val="center"/>
          </w:tcPr>
          <w:p w14:paraId="27EC0CD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137D1B42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4F9AB00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Создание территория опережающего социально-экономического развития «сухой порт Беслан»</w:t>
            </w:r>
          </w:p>
          <w:p w14:paraId="7C5F67B6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731A9E4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5F37496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67071FF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Будет определена при создание территория опережающего социально-экономического развития</w:t>
            </w:r>
          </w:p>
        </w:tc>
        <w:tc>
          <w:tcPr>
            <w:tcW w:w="2071" w:type="dxa"/>
            <w:vAlign w:val="center"/>
          </w:tcPr>
          <w:p w14:paraId="1762787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Будет определена при создание территория опережающего социально-экономического развития</w:t>
            </w:r>
          </w:p>
        </w:tc>
        <w:tc>
          <w:tcPr>
            <w:tcW w:w="2037" w:type="dxa"/>
            <w:vAlign w:val="center"/>
          </w:tcPr>
          <w:p w14:paraId="37B41B0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6BC410EC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418B6C4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«Промышленный парк»</w:t>
            </w:r>
          </w:p>
          <w:p w14:paraId="1CC677B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04EBE56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68CD4BAE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Концентрация на одной территории предприятия с общей сферой деятельности и/или использующих единую инженерную инфраструктуру. Такая концентрация позволяет всем участникам промпарка сэкономить на инфраструктурных издержках.</w:t>
            </w:r>
          </w:p>
        </w:tc>
        <w:tc>
          <w:tcPr>
            <w:tcW w:w="2037" w:type="dxa"/>
            <w:vAlign w:val="center"/>
          </w:tcPr>
          <w:p w14:paraId="26DD3E2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стадиях проектирования</w:t>
            </w:r>
          </w:p>
        </w:tc>
        <w:tc>
          <w:tcPr>
            <w:tcW w:w="2071" w:type="dxa"/>
            <w:vAlign w:val="center"/>
          </w:tcPr>
          <w:p w14:paraId="10A7611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стадиях проектирования</w:t>
            </w:r>
          </w:p>
        </w:tc>
        <w:tc>
          <w:tcPr>
            <w:tcW w:w="2037" w:type="dxa"/>
            <w:vAlign w:val="center"/>
          </w:tcPr>
          <w:p w14:paraId="0044D5A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15DC2AEA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5BCA179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Строительство животноводческого</w:t>
            </w:r>
          </w:p>
          <w:p w14:paraId="72F896D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комплекса</w:t>
            </w:r>
          </w:p>
          <w:p w14:paraId="45C051E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7E1419C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642D22C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329D3871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стадиях проектирования</w:t>
            </w:r>
          </w:p>
        </w:tc>
        <w:tc>
          <w:tcPr>
            <w:tcW w:w="2071" w:type="dxa"/>
            <w:vAlign w:val="center"/>
          </w:tcPr>
          <w:p w14:paraId="548B075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t xml:space="preserve">ул. </w:t>
            </w:r>
            <w:proofErr w:type="gramStart"/>
            <w:r>
              <w:rPr>
                <w:rFonts w:cstheme="minorHAnsi"/>
                <w:sz w:val="24"/>
                <w:szCs w:val="24"/>
                <w:lang w:eastAsia="ru-RU"/>
              </w:rPr>
              <w:t>Совхозная ,</w:t>
            </w:r>
            <w:proofErr w:type="gramEnd"/>
            <w:r>
              <w:rPr>
                <w:rFonts w:cstheme="minorHAnsi"/>
                <w:sz w:val="24"/>
                <w:szCs w:val="24"/>
                <w:lang w:eastAsia="ru-RU"/>
              </w:rPr>
              <w:t xml:space="preserve"> площадь 5,0 га.</w:t>
            </w:r>
          </w:p>
        </w:tc>
        <w:tc>
          <w:tcPr>
            <w:tcW w:w="2037" w:type="dxa"/>
            <w:vAlign w:val="center"/>
          </w:tcPr>
          <w:p w14:paraId="74A5689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соответствии с СанПиН 2.2.1/2.1.1.</w:t>
            </w:r>
          </w:p>
          <w:p w14:paraId="08AAA72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Times New Roman"/>
                <w:sz w:val="24"/>
                <w:szCs w:val="24"/>
              </w:rPr>
              <w:t>1200-03</w:t>
            </w:r>
          </w:p>
        </w:tc>
      </w:tr>
      <w:tr w:rsidR="009B369E" w14:paraId="65E6A542" w14:textId="77777777">
        <w:trPr>
          <w:trHeight w:val="1804"/>
          <w:jc w:val="center"/>
        </w:trPr>
        <w:tc>
          <w:tcPr>
            <w:tcW w:w="2171" w:type="dxa"/>
            <w:vAlign w:val="center"/>
          </w:tcPr>
          <w:p w14:paraId="3A67040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lastRenderedPageBreak/>
              <w:t xml:space="preserve">Создание производства по глубокой переработке зерна кукурузы на </w:t>
            </w:r>
            <w:proofErr w:type="spellStart"/>
            <w:r>
              <w:rPr>
                <w:rFonts w:cstheme="minorHAnsi"/>
                <w:sz w:val="24"/>
                <w:szCs w:val="24"/>
                <w:lang w:eastAsia="ru-RU"/>
              </w:rPr>
              <w:t>крахмалопродукты</w:t>
            </w:r>
            <w:proofErr w:type="spellEnd"/>
          </w:p>
        </w:tc>
        <w:tc>
          <w:tcPr>
            <w:tcW w:w="2062" w:type="dxa"/>
            <w:vAlign w:val="center"/>
          </w:tcPr>
          <w:p w14:paraId="1D11B8F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4BF289D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300 тонн/сутки</w:t>
            </w:r>
          </w:p>
        </w:tc>
        <w:tc>
          <w:tcPr>
            <w:tcW w:w="2071" w:type="dxa"/>
            <w:vAlign w:val="center"/>
          </w:tcPr>
          <w:p w14:paraId="329EE55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t xml:space="preserve">350 м западнее </w:t>
            </w:r>
            <w:proofErr w:type="spellStart"/>
            <w:r>
              <w:rPr>
                <w:rFonts w:cstheme="minorHAnsi"/>
                <w:sz w:val="24"/>
                <w:szCs w:val="24"/>
                <w:lang w:eastAsia="ru-RU"/>
              </w:rPr>
              <w:t>Фарновского</w:t>
            </w:r>
            <w:proofErr w:type="spellEnd"/>
            <w:r>
              <w:rPr>
                <w:rFonts w:cstheme="minorHAnsi"/>
                <w:sz w:val="24"/>
                <w:szCs w:val="24"/>
                <w:lang w:eastAsia="ru-RU"/>
              </w:rPr>
              <w:t xml:space="preserve"> моста</w:t>
            </w:r>
          </w:p>
        </w:tc>
        <w:tc>
          <w:tcPr>
            <w:tcW w:w="2037" w:type="dxa"/>
            <w:vAlign w:val="center"/>
          </w:tcPr>
          <w:p w14:paraId="14D0BAC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соответствии с СанПиН 2.2.1/2.1.1.</w:t>
            </w:r>
          </w:p>
          <w:p w14:paraId="269965E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1200-03</w:t>
            </w:r>
          </w:p>
        </w:tc>
      </w:tr>
    </w:tbl>
    <w:p w14:paraId="5C5EAF1D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3770D915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2" w:name="_Toc88723900"/>
      <w:r>
        <w:rPr>
          <w:rFonts w:ascii="Arial Narrow" w:hAnsi="Arial Narrow"/>
        </w:rPr>
        <w:t>Раздел 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</w:r>
      <w:bookmarkEnd w:id="12"/>
    </w:p>
    <w:p w14:paraId="7F44C38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документом территориального планирования Правобережного района РСО-Алания является Схема территориального планирования.</w:t>
      </w:r>
    </w:p>
    <w:p w14:paraId="0C0E2E7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Перечень объектов местного значения муниципального района, отображенных в схеме территориального планирования Правобережного района и имеющих отношение к Бесланскому городскому поселению:</w:t>
      </w:r>
    </w:p>
    <w:tbl>
      <w:tblPr>
        <w:tblStyle w:val="af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2127"/>
        <w:gridCol w:w="1984"/>
        <w:gridCol w:w="1985"/>
      </w:tblGrid>
      <w:tr w:rsidR="009B369E" w14:paraId="729B15C9" w14:textId="77777777">
        <w:trPr>
          <w:trHeight w:val="1856"/>
          <w:jc w:val="center"/>
        </w:trPr>
        <w:tc>
          <w:tcPr>
            <w:tcW w:w="1980" w:type="dxa"/>
            <w:vAlign w:val="center"/>
          </w:tcPr>
          <w:p w14:paraId="171A7BCE" w14:textId="77777777" w:rsidR="009B369E" w:rsidRDefault="006D271D">
            <w:pPr>
              <w:spacing w:line="360" w:lineRule="auto"/>
              <w:ind w:left="-116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Вид объекта</w:t>
            </w:r>
          </w:p>
        </w:tc>
        <w:tc>
          <w:tcPr>
            <w:tcW w:w="2551" w:type="dxa"/>
            <w:vAlign w:val="center"/>
          </w:tcPr>
          <w:p w14:paraId="6E0C541E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Назначение</w:t>
            </w:r>
          </w:p>
          <w:p w14:paraId="6A03EB4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Align w:val="center"/>
          </w:tcPr>
          <w:p w14:paraId="3365B75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Характеристики объекта</w:t>
            </w:r>
          </w:p>
        </w:tc>
        <w:tc>
          <w:tcPr>
            <w:tcW w:w="1984" w:type="dxa"/>
            <w:vAlign w:val="center"/>
          </w:tcPr>
          <w:p w14:paraId="603684E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Местоположение</w:t>
            </w:r>
          </w:p>
        </w:tc>
        <w:tc>
          <w:tcPr>
            <w:tcW w:w="1985" w:type="dxa"/>
            <w:vAlign w:val="center"/>
          </w:tcPr>
          <w:p w14:paraId="2696648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Характеристики зоны с особыми условиями использования территории</w:t>
            </w:r>
          </w:p>
        </w:tc>
      </w:tr>
      <w:tr w:rsidR="009B369E" w14:paraId="10D0CAB1" w14:textId="77777777">
        <w:trPr>
          <w:trHeight w:val="658"/>
          <w:jc w:val="center"/>
        </w:trPr>
        <w:tc>
          <w:tcPr>
            <w:tcW w:w="1980" w:type="dxa"/>
            <w:vAlign w:val="center"/>
          </w:tcPr>
          <w:p w14:paraId="429FA732" w14:textId="77777777" w:rsidR="009B369E" w:rsidRDefault="006D271D">
            <w:pPr>
              <w:spacing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01DE07A7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Предоставление услуг бесплатного дошкольного образования</w:t>
            </w:r>
          </w:p>
        </w:tc>
        <w:tc>
          <w:tcPr>
            <w:tcW w:w="2127" w:type="dxa"/>
            <w:vAlign w:val="center"/>
          </w:tcPr>
          <w:p w14:paraId="3DD8470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Комплексы зданий и сооружений общей вместимостью 1800 мест, состоящие из 1-2 этажных капитальных зданий детских садов, вспомогательных объектов и благоустроенной территории,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2D294AE2" w14:textId="77777777" w:rsidR="009B369E" w:rsidRDefault="006D271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</w:t>
            </w:r>
          </w:p>
        </w:tc>
        <w:tc>
          <w:tcPr>
            <w:tcW w:w="1985" w:type="dxa"/>
            <w:vAlign w:val="center"/>
          </w:tcPr>
          <w:p w14:paraId="242A963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5F606705" w14:textId="77777777">
        <w:trPr>
          <w:trHeight w:val="3341"/>
          <w:jc w:val="center"/>
        </w:trPr>
        <w:tc>
          <w:tcPr>
            <w:tcW w:w="1980" w:type="dxa"/>
            <w:vAlign w:val="center"/>
          </w:tcPr>
          <w:p w14:paraId="34FCA990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C01DB2B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Предоставление услуг бесплатного общего образования</w:t>
            </w:r>
          </w:p>
        </w:tc>
        <w:tc>
          <w:tcPr>
            <w:tcW w:w="2127" w:type="dxa"/>
            <w:vAlign w:val="center"/>
          </w:tcPr>
          <w:p w14:paraId="4E41E300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двух-трёх новых школ. Комплексы зданий и сооружений общей вместимостью 1400 мест, состоящие каждый из 2-3 этажного капитального школьного здания, вспомогательных объектов и благоустроенной территории,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50AE63CC" w14:textId="77777777" w:rsidR="009B369E" w:rsidRDefault="006D271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</w:t>
            </w:r>
          </w:p>
        </w:tc>
        <w:tc>
          <w:tcPr>
            <w:tcW w:w="1985" w:type="dxa"/>
            <w:vAlign w:val="center"/>
          </w:tcPr>
          <w:p w14:paraId="4D37590F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7CF189EF" w14:textId="77777777">
        <w:trPr>
          <w:trHeight w:val="2243"/>
          <w:jc w:val="center"/>
        </w:trPr>
        <w:tc>
          <w:tcPr>
            <w:tcW w:w="1980" w:type="dxa"/>
            <w:vAlign w:val="center"/>
          </w:tcPr>
          <w:p w14:paraId="105D0B1A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C7FA79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Создание условий для обеспечения поселений услугами организаций культуры</w:t>
            </w:r>
          </w:p>
        </w:tc>
        <w:tc>
          <w:tcPr>
            <w:tcW w:w="2127" w:type="dxa"/>
            <w:vAlign w:val="center"/>
          </w:tcPr>
          <w:p w14:paraId="284CCF61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дома культуры.</w:t>
            </w:r>
          </w:p>
          <w:p w14:paraId="25BC845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2-4 этажное капитальное здание и вспомогательные объекты </w:t>
            </w:r>
            <w:r>
              <w:rPr>
                <w:rFonts w:cs="Times New Roman"/>
                <w:sz w:val="20"/>
                <w:szCs w:val="20"/>
              </w:rPr>
              <w:lastRenderedPageBreak/>
              <w:t>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4C2D0D96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г. Беслан</w:t>
            </w:r>
          </w:p>
        </w:tc>
        <w:tc>
          <w:tcPr>
            <w:tcW w:w="1985" w:type="dxa"/>
            <w:vAlign w:val="center"/>
          </w:tcPr>
          <w:p w14:paraId="776F1E7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26B929EB" w14:textId="77777777">
        <w:trPr>
          <w:trHeight w:val="1845"/>
          <w:jc w:val="center"/>
        </w:trPr>
        <w:tc>
          <w:tcPr>
            <w:tcW w:w="1980" w:type="dxa"/>
            <w:vAlign w:val="center"/>
          </w:tcPr>
          <w:p w14:paraId="59457EA6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A1884A3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Библиотечное обслуживание населения услугами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межпоселенческих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библиотек</w:t>
            </w:r>
          </w:p>
        </w:tc>
        <w:tc>
          <w:tcPr>
            <w:tcW w:w="2127" w:type="dxa"/>
            <w:vAlign w:val="center"/>
          </w:tcPr>
          <w:p w14:paraId="79A5555A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библиотеки, 1-2 этажное капитальное здание библиотеки, вспомогательные объекты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56C84C5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Беслан, посёлок Пенькозавод</w:t>
            </w:r>
          </w:p>
        </w:tc>
        <w:tc>
          <w:tcPr>
            <w:tcW w:w="1985" w:type="dxa"/>
            <w:vAlign w:val="center"/>
          </w:tcPr>
          <w:p w14:paraId="5D267090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1663824F" w14:textId="77777777">
        <w:trPr>
          <w:trHeight w:val="2655"/>
          <w:jc w:val="center"/>
        </w:trPr>
        <w:tc>
          <w:tcPr>
            <w:tcW w:w="1980" w:type="dxa"/>
            <w:vAlign w:val="center"/>
          </w:tcPr>
          <w:p w14:paraId="2889DB8A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4BB7F55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Создание музеев муниципального района, создание условий для обеспечения поселений услугами организаций культуры</w:t>
            </w:r>
          </w:p>
        </w:tc>
        <w:tc>
          <w:tcPr>
            <w:tcW w:w="2127" w:type="dxa"/>
            <w:vAlign w:val="center"/>
          </w:tcPr>
          <w:p w14:paraId="6B4B7A3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музея, 1-2 этажное капитальное здание музея, вспомогательные объекты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499BB278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</w:t>
            </w:r>
          </w:p>
        </w:tc>
        <w:tc>
          <w:tcPr>
            <w:tcW w:w="1985" w:type="dxa"/>
            <w:vAlign w:val="center"/>
          </w:tcPr>
          <w:p w14:paraId="751A8B6B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</w:tr>
      <w:tr w:rsidR="009B369E" w14:paraId="59FC5853" w14:textId="77777777">
        <w:trPr>
          <w:trHeight w:val="2701"/>
          <w:jc w:val="center"/>
        </w:trPr>
        <w:tc>
          <w:tcPr>
            <w:tcW w:w="1980" w:type="dxa"/>
            <w:vAlign w:val="center"/>
          </w:tcPr>
          <w:p w14:paraId="028ABCB0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1F7550F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Утилизация и переработка бытовых и промышленных отходов</w:t>
            </w:r>
          </w:p>
        </w:tc>
        <w:tc>
          <w:tcPr>
            <w:tcW w:w="2127" w:type="dxa"/>
            <w:vAlign w:val="center"/>
          </w:tcPr>
          <w:p w14:paraId="72AF702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полигона по захоронению ТОПП с установкой оборудования по сортировке отходов (характеристики уточняются при проектировании)</w:t>
            </w:r>
          </w:p>
        </w:tc>
        <w:tc>
          <w:tcPr>
            <w:tcW w:w="1984" w:type="dxa"/>
            <w:vAlign w:val="center"/>
          </w:tcPr>
          <w:p w14:paraId="4F6DFB3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Северо-западная окраина г. Беслан</w:t>
            </w:r>
          </w:p>
        </w:tc>
        <w:tc>
          <w:tcPr>
            <w:tcW w:w="1985" w:type="dxa"/>
            <w:vAlign w:val="center"/>
          </w:tcPr>
          <w:p w14:paraId="494AE9E8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Устанавливается санитарно-защитная зона до 1000м</w:t>
            </w:r>
          </w:p>
        </w:tc>
      </w:tr>
      <w:tr w:rsidR="009B369E" w14:paraId="152C6931" w14:textId="77777777">
        <w:trPr>
          <w:trHeight w:val="2689"/>
          <w:jc w:val="center"/>
        </w:trPr>
        <w:tc>
          <w:tcPr>
            <w:tcW w:w="1980" w:type="dxa"/>
            <w:vAlign w:val="center"/>
          </w:tcPr>
          <w:p w14:paraId="40D54956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Линейный объект</w:t>
            </w:r>
          </w:p>
        </w:tc>
        <w:tc>
          <w:tcPr>
            <w:tcW w:w="2551" w:type="dxa"/>
            <w:vAlign w:val="center"/>
          </w:tcPr>
          <w:p w14:paraId="516B3245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Обеспечение безопасности населения и хозяйственных объектов. Предупреждение чрезвычайных ситуаций.</w:t>
            </w:r>
          </w:p>
        </w:tc>
        <w:tc>
          <w:tcPr>
            <w:tcW w:w="2127" w:type="dxa"/>
            <w:vAlign w:val="center"/>
          </w:tcPr>
          <w:p w14:paraId="18746C97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Проведение берегоукрепительных работ вдоль р. Терек в селитебной части г. Беслан. Длина инженерно-защитных сооружений вдоль реки Терек составит порядка 10 км</w:t>
            </w:r>
          </w:p>
        </w:tc>
        <w:tc>
          <w:tcPr>
            <w:tcW w:w="1984" w:type="dxa"/>
            <w:vAlign w:val="center"/>
          </w:tcPr>
          <w:p w14:paraId="4576A96F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Южная окраина</w:t>
            </w:r>
          </w:p>
          <w:p w14:paraId="744ED339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г. Беслан</w:t>
            </w:r>
          </w:p>
        </w:tc>
        <w:tc>
          <w:tcPr>
            <w:tcW w:w="1985" w:type="dxa"/>
            <w:vAlign w:val="center"/>
          </w:tcPr>
          <w:p w14:paraId="0F0A31F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</w:tbl>
    <w:p w14:paraId="63CC2BB4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2AB58D5B" w14:textId="77777777" w:rsidR="009B369E" w:rsidRDefault="006D271D">
      <w:pPr>
        <w:pStyle w:val="1"/>
        <w:spacing w:line="360" w:lineRule="auto"/>
        <w:ind w:firstLine="709"/>
        <w:rPr>
          <w:rFonts w:ascii="Times New Roman" w:hAnsi="Times New Roman" w:cs="Times New Roman"/>
          <w:color w:val="00B050"/>
          <w:sz w:val="40"/>
          <w:szCs w:val="40"/>
        </w:rPr>
      </w:pPr>
      <w:bookmarkStart w:id="13" w:name="_Toc88723901"/>
      <w:r>
        <w:rPr>
          <w:rFonts w:ascii="Arial Narrow" w:hAnsi="Arial Narrow"/>
        </w:rPr>
        <w:lastRenderedPageBreak/>
        <w:t>Раздел 6. Перечень и характеристики основных факторов риска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color w:val="00B050"/>
          <w:sz w:val="40"/>
          <w:szCs w:val="40"/>
        </w:rPr>
        <w:t>.</w:t>
      </w:r>
      <w:bookmarkEnd w:id="13"/>
    </w:p>
    <w:p w14:paraId="11FCA44B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Введение</w:t>
      </w:r>
    </w:p>
    <w:p w14:paraId="2437889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подлежит разработке, для целей решения первостепенных задач - изучения рисков со стороны природных и техногенных факторов среды обитания и путей их предотвращения, при проведении работ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генпланированию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территории.</w:t>
      </w:r>
    </w:p>
    <w:p w14:paraId="0180F8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Конституции РФ главным приоритетом в государстве является соблюдение прав человека на безопасные условия проживания.</w:t>
      </w:r>
    </w:p>
    <w:p w14:paraId="4BBCD97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генеральных планов городов и поселений выполняется задача создавать не только комфортную среду обитания человека и общества, но и безопасные условия их проживания.</w:t>
      </w:r>
    </w:p>
    <w:p w14:paraId="26EEA5C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Чрезвычайная ситуация — это состояние, при которой на определенной территории или акватории нарушаются нормальные условия жизни и деятельности людей, возникает угроза их жизни и здоровья, наносится ущерб имуществу населения, объектам экономики и окружающей природной среде.</w:t>
      </w:r>
    </w:p>
    <w:p w14:paraId="2C59E363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Краткое описание места расположения объекта.</w:t>
      </w:r>
    </w:p>
    <w:p w14:paraId="0F7513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Беслана расположен в долине реки Терек, южнее отрогов Главного Кавказского хребта, является одним из крупнейших промышленных центров Республики Северная Осетия-Алания с населением 37 400 человек.</w:t>
      </w:r>
    </w:p>
    <w:p w14:paraId="197E9F9E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Топографо-геодезическая характеристика территории.</w:t>
      </w:r>
    </w:p>
    <w:p w14:paraId="29BE369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географическом отношении город Беслан представляет собой равнинную территорию.</w:t>
      </w:r>
    </w:p>
    <w:p w14:paraId="0141B9B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Рельеф поверхности спокойный, плавно понижающийся на северо-запад. </w:t>
      </w:r>
    </w:p>
    <w:p w14:paraId="517E806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юга и юго-запада города протекает р. Терек и граничит практически по всей протяженности города Беслан.</w:t>
      </w:r>
    </w:p>
    <w:p w14:paraId="7D1141AA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lastRenderedPageBreak/>
        <w:t>Инженерно-геологические и климатические условия.</w:t>
      </w:r>
    </w:p>
    <w:p w14:paraId="1A11164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умеренно-континентальный с мягкой зимой. Расчетная температура минус 18°.</w:t>
      </w:r>
    </w:p>
    <w:p w14:paraId="1C90CE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приобретают солнечные умеренно-влажные и влажные дождливые погоды. Осенью также солнечные, умеренно-влажные и влажные.</w:t>
      </w:r>
    </w:p>
    <w:p w14:paraId="7A4938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города и пригородной зоны имеет ряд неблагоприятных факторов и особенностей природных условий, затрудняющих освоение территорий.</w:t>
      </w:r>
    </w:p>
    <w:p w14:paraId="6612E05C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Анализ возможного возникновения чрезвычайных ситуаций природного характера.</w:t>
      </w:r>
    </w:p>
    <w:p w14:paraId="7D3615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Основную угрозу для населения на территории Северной Осетии-Алании, в отличие от российских особенностей, представляют ЧС природного характера: катастрофические наводнения и опасные метеорологические явления, связанные с сильным ветром, сильными дождями и снегопадами, дождевыми паводками, селями. </w:t>
      </w:r>
    </w:p>
    <w:p w14:paraId="1EEB133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обусловлено большим разнообразием геолого-геоморфологических, климатических и в целом ландшафтных условий. Положение к тому же усугубляется мощным антропогенным давлением, которое провоцирует возникновение, качественный и количественный рост природных и природно-техногенных ЧС. </w:t>
      </w:r>
    </w:p>
    <w:p w14:paraId="3B4C549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Природная чрезвычайная ситуация –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жертвы, ущерб здоровью и (или) окружающей природной среде, значительные материальные потери и нарушение условий жизнедеятельности людей.</w:t>
      </w:r>
    </w:p>
    <w:p w14:paraId="7A55B5C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природной чрезвычайной ситуации – опасное природное явление или процесс, в результате которого на определенной территории или акватории произошла или может возникнуть чрезвычайная ситуация.</w:t>
      </w:r>
    </w:p>
    <w:p w14:paraId="452BE2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Опасное природное явление – событие природного происхождения (геологического, гидрологического) или результат деятельности природных процессов, которые по своей интенсивности, масштабу распространения и продолжительности могут вызвать поражающее воздействие на людей, объекты экономики и окружающую природную среду.</w:t>
      </w:r>
    </w:p>
    <w:p w14:paraId="3F9079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Северная Осетия - Алания и Правобережный район, в частности, располагается на территории, геолого-тектоническое строение которой может привести к возникновению стихийных явлений и ЧС природного характера.</w:t>
      </w:r>
    </w:p>
    <w:p w14:paraId="24824FA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геологические явления и процессы.</w:t>
      </w:r>
    </w:p>
    <w:p w14:paraId="3636B3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Опасное геологические явление: событие геологического происхождения или результат деятельности геологических процессов, возникающих в земной коре под действием различных природных или геодинамических факторов или их сочетаний, оказывающих или могущих оказать поражающие воздействия на людей, сельскохозяйственных животных и растения, объекты экономики и окружающую природную среду.</w:t>
      </w:r>
    </w:p>
    <w:p w14:paraId="6B9F7C0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Правобережного района к опасным геологическим явлениям и процессам относятся:</w:t>
      </w:r>
    </w:p>
    <w:p w14:paraId="606608B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землетрясения;</w:t>
      </w:r>
    </w:p>
    <w:p w14:paraId="456904C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обвалы;</w:t>
      </w:r>
    </w:p>
    <w:p w14:paraId="68EA591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оползни;</w:t>
      </w:r>
    </w:p>
    <w:p w14:paraId="01694DD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просадка в лессовых грунтах;</w:t>
      </w:r>
    </w:p>
    <w:p w14:paraId="3FDBA2D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переработка берегов.</w:t>
      </w:r>
    </w:p>
    <w:p w14:paraId="68040B3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Землетрясения - подземные толчки и колебания земной поверхности,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колебаний.</w:t>
      </w:r>
    </w:p>
    <w:p w14:paraId="7E2F503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Важнейшей характеристикой землетрясения являются сейсмическая энергия и интенсивность землетрясения. Сейсмическая энергия, т.е. энергия, которая излучается из гипоцентра землетрясения в форме сейсмических волн, </w:t>
      </w:r>
      <w:r>
        <w:rPr>
          <w:rFonts w:ascii="Times New Roman" w:hAnsi="Times New Roman" w:cs="Times New Roman"/>
          <w:sz w:val="28"/>
          <w:szCs w:val="28"/>
        </w:rPr>
        <w:lastRenderedPageBreak/>
        <w:t>измеряется с помощью шкалы Рихтера.</w:t>
      </w:r>
    </w:p>
    <w:p w14:paraId="782524E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Республики Северная Осетия-Алания расположена в зоне сейсмической активности. Балл сейсмичности здесь изменяется от семи до девяти по шкале Рихтера, повышаясь к горной части.</w:t>
      </w:r>
    </w:p>
    <w:p w14:paraId="44055A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Землетрясения - сложное, многоликое явление и бедствие, локализованное в зонах крупных разломов, предсказать которые очень непросто, т.к. они зависят от многих факторов, изменяющихся в пространстве и во времени. Высокоточных приборов, которые бы достоверно предсказывали землетрясения, пока нет. Ученые лишь анализируют физические явления, поведение животных и растений, другие приметы природы, по которым они, как и простые люди, могут предвидеть землетрясения и принимать соответствующие меры.</w:t>
      </w:r>
    </w:p>
    <w:p w14:paraId="1C5AB9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Долгое время Кавказ, характеризуемый средней сейсмической активностью, относили к регионам с умеренным сейсмическим потенциалом (магнитуда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М&lt;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6.5) и, соответственно, ограниченной интенсивностью. Это позволяло решать важнейшую народнохозяйственную задачу массового строительства дешевого жилья и различных ответственных объектов (АЭС, ГЭС, дамбы, плотины, заводы и фабрики с опасным производством и т.д.) без больших затрат. </w:t>
      </w:r>
    </w:p>
    <w:p w14:paraId="5F7BBAA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совокупность последствий (полное разрушение нескольких сел, состоящих большей частью из деревянных домов, многочисленные оползни, изменение дебита источников, трещины в грунтах и т.д.)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Спитакского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1988г. (М = 6.9), Рачинского (Рача-Джавского) 1991г. на севере Грузии (М=7.0-7.2) землетрясений свидетельствовала о высокой сейсмической опасности территории Кавказа (интенсивность составляла 9-11 баллов).</w:t>
      </w:r>
    </w:p>
    <w:p w14:paraId="28B4E9A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Высокая сейсмичность территории республики - следствие высокой неотектонической активности, обилия зон развивающихся глубинных разломов. </w:t>
      </w:r>
    </w:p>
    <w:p w14:paraId="3F74294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предгорно-равнинной территории Северной Осетии характерны 7-8-балльные землетрясения. При этом наиболее сейсмоопасными являются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зоны или участки пересечения Северо-Кавказского (трансконтинентального) меридионального глубокого разлома с Ардонским, Терским и др. разломами.</w:t>
      </w:r>
    </w:p>
    <w:p w14:paraId="66601D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исследованиям сейсмичности Кавказа утверждается, что очаги землетрясений здесь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близповерхностные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 50 км, а чем ближе к поверхности очаг землетрясений, тем оно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разрушительнее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к. выше напряжение горных пород и энергия будущего землетрясения. Об этом свидетельствуют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Спитакское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(1988), Джавское (1989) и др. землетрясения. Эти же примеры говорят, что Кавказские горы не так спокойны, как было принято считать до недавних пор.</w:t>
      </w:r>
    </w:p>
    <w:p w14:paraId="10492A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сейсмичность РСО-Алания обуславливается рядом активных региональных разломов глубокого заложения.</w:t>
      </w:r>
    </w:p>
    <w:p w14:paraId="61F1BD8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землетрясениям подвержено более 28-40% территории Большого Кавказа; что касается территории Северной Осетии, этот процент составляет не менее 50%, так как землетрясения связываются главным образом с участками земной коры, в которых активно проявляются новейшие тектонические движения, а РСО-Алания - область современного горообразования. Следует, однако, признать, что сведения по землетрясениям территории Северной Осетии отрывочны, не систематизированы, постоянных наблюдений и настоящего изучения по ним еще нет. </w:t>
      </w:r>
    </w:p>
    <w:p w14:paraId="1200FC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Указанный комплект карт предусматривает осуществление антисейсмических мероприятий при строительстве объектов и отражает вероятность возможного превышения в течение 50 лет указанных на картах значений сейсмической интенсивности. Указанная на картах сейсмическая интенсивность относится к участкам со средними по сейсмическим свойствам грунтами (II категории).</w:t>
      </w:r>
    </w:p>
    <w:p w14:paraId="4AE74C8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новым сейсмическим районированием территории России (СНиП II-7-81*, карта ОСР-97) нормативная сейсмичность в северо-восточной части Республики Северная Осетия-Алания (около 30 % территории – северная часть = 2500 км2) составляет 8 баллов по шкале MSK-64, а на остальной площади - 9 баллов (южная часть = 5500 км2)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вероятностью повторения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сейсмотолчков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раз в 50 лет.</w:t>
      </w:r>
    </w:p>
    <w:p w14:paraId="266FB3C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федеральной целевой программе Республика Северная Осетия-Алания отнесена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высокосейсмичным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регионам (индекс сейсмического риска - 3,5).</w:t>
      </w:r>
    </w:p>
    <w:p w14:paraId="2651BA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классификацией Республики Северная Осетия-Алания входит в I-ю группу – регионов наиболее высокой сейсмической опасности и сейсмического риска. Многие города и крупные населенные пункты республики расположены на территориях с сейсмичностью 8-9 и 10 баллов.</w:t>
      </w:r>
    </w:p>
    <w:p w14:paraId="28756A0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населенных пунктов Республики Северная Осетия-Алания, расположенных в сейсмических районах, с указанием расчетной сейсмической интенсивности в баллах шкалы MSK-64 для средних грунтовых условий и трех степеней сейсмической опасности - А (10%), В (5%), С (1%) в течение 50 лет (СНиП II-7-81*)</w:t>
      </w:r>
    </w:p>
    <w:tbl>
      <w:tblPr>
        <w:tblW w:w="486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5899"/>
        <w:gridCol w:w="1051"/>
        <w:gridCol w:w="1051"/>
        <w:gridCol w:w="1067"/>
      </w:tblGrid>
      <w:tr w:rsidR="009B369E" w14:paraId="0B12C5F3" w14:textId="77777777">
        <w:trPr>
          <w:trHeight w:val="411"/>
          <w:jc w:val="center"/>
        </w:trPr>
        <w:tc>
          <w:tcPr>
            <w:tcW w:w="3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B7277E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16F749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1BD8DF9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6A06345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9B369E" w14:paraId="41B5176A" w14:textId="77777777">
        <w:trPr>
          <w:trHeight w:val="422"/>
          <w:jc w:val="center"/>
        </w:trPr>
        <w:tc>
          <w:tcPr>
            <w:tcW w:w="32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B4A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Алагир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0991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ECC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2D64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369E" w14:paraId="14555AA0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F4A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Беслан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354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6F2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6DD4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369E" w14:paraId="17199AB6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624D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Владикавказ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E3F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32DB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B0E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369E" w14:paraId="06320B5C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F748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Моздок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63B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462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7533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48EA762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 Степень сейсмической опасности А, В и С соответствует вероятности 10%, 5% и 1% превышения сейсмической интенсивности 6, 7, 8, 9 и ³ 10 баллов (в таблице условно показано цифрой 10) в каждом из пунктов в течение 50 лет. Эти же оценки отражают 90%-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вероятность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непревышения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указанных для пунктов значений интенсивности в течение следующих интервалов времени - 50 (А), 100 (В) и 500 (С) лет. Они же соответствуют повторяемости таких сотрясений в каждом пункте в среднем один раз в 500, 1000 и 5000 лет.</w:t>
      </w:r>
    </w:p>
    <w:p w14:paraId="65C2A22F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D4C8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 </w:t>
      </w:r>
    </w:p>
    <w:p w14:paraId="5C2B377A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FC3823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02510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сейсмического районирования Республики Северная Осетия-Алания.</w:t>
      </w:r>
      <w:r>
        <w:rPr>
          <w:sz w:val="28"/>
        </w:rPr>
        <w:t xml:space="preserve"> </w:t>
      </w:r>
      <w:r>
        <w:rPr>
          <w:noProof/>
          <w:sz w:val="28"/>
        </w:rPr>
        <mc:AlternateContent>
          <mc:Choice Requires="wpg">
            <w:drawing>
              <wp:inline distT="0" distB="0" distL="0" distR="0" wp14:anchorId="71F4AB53" wp14:editId="525D7414">
                <wp:extent cx="5367655" cy="7501255"/>
                <wp:effectExtent l="0" t="0" r="4445" b="4445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879" t="880"/>
                        <a:stretch/>
                      </pic:blipFill>
                      <pic:spPr bwMode="auto">
                        <a:xfrm>
                          <a:off x="0" y="0"/>
                          <a:ext cx="5367655" cy="750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22.6pt;height:590.6pt;" stroked="f">
                <v:path textboxrect="0,0,0,0"/>
                <v:imagedata r:id="rId12" o:title=""/>
              </v:shape>
            </w:pict>
          </mc:Fallback>
        </mc:AlternateContent>
      </w:r>
    </w:p>
    <w:p w14:paraId="5EEA9F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FDA9D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сейсмостойкости зданий и сооружений позволяет говорить о высокой уязвимости территории к землетрясениям. Повышение возможного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максимального уровня сейсмического воздействия за определенный промежуток времени на территории не изменило сейсмостойкость уже построенных зданий и сооружений, строительство которых осуществлялось без антисейсмических мероприятий. В Республике, по приближенным оценкам, практически 100% зданий и других сооружений отнесены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несейсмостойким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(категория А, Б, С), то есть сейсмически уязвимым, а урбанизация населения увеличивает сейсмический риск.</w:t>
      </w:r>
    </w:p>
    <w:p w14:paraId="436A453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Правобережного района обвальные и оползневые процессы наблюдаются вдоль берегов рек равнинной части территории и в горах. </w:t>
      </w:r>
    </w:p>
    <w:p w14:paraId="5EEE6F8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Республики просадочные и просадочно-суффозионные процессы развиты очень широко и приурочены к лессовидным породам, распространенным на большей части равнинной территории Республики. </w:t>
      </w:r>
    </w:p>
    <w:p w14:paraId="7C3A57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просадочных грунтов охватывает свыше 25% территории в Правобережном районе.</w:t>
      </w:r>
    </w:p>
    <w:p w14:paraId="654A1C8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Просадочные свойства лессовидных грунтов могут проявляться в процессе строительства и эксплуатации, что приводит к деформациям зданий. Стоимость ремонтно-восстановительных работ в таких случаях может составлять до 30-50% первоначальной стоимости сооружений. При проектировании и строительстве зданий и сооружений на просадочных грунтах должны соблюдаться 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2.01.09-91. </w:t>
      </w:r>
    </w:p>
    <w:p w14:paraId="6735D73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борьбе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включают в себя: </w:t>
      </w:r>
    </w:p>
    <w:p w14:paraId="178D2C5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просадочных грунтах с 1-м типом грунтовых условий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(возможна просадка грунтов от внешней нагрузки, просадка от собственного веса отсутствует или не превышает 5см) рекомендуется применение следующих мероприятий по закреплению оснований – устранение просадочных свойств грунтов основания уплотнением, замачиванием, взрывом; закрепление грунтов основания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буросмесительным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способом, сооружение свайных фундаментов из забивных свай или буронабивных свай с антикоррозийной защитой;</w:t>
      </w:r>
    </w:p>
    <w:p w14:paraId="1DEB18F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просадочных грунтах со 2-м типом грунтовых условий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(помимо просадки грунтов от внешней нагрузки возможна просадка от собственного веса и размер ее превышает 5см) рекомендуется закрепление просадочных грунтов инъекционным способом (силикатизация,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), сооружение свайных фундаментов;</w:t>
      </w:r>
    </w:p>
    <w:p w14:paraId="5F2A86C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просадочные грунты должны полностью прорезаться сваями с заглублением нижних концов свай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грунты. Не допускается опирание свай на грунты лессового происхождения.</w:t>
      </w:r>
    </w:p>
    <w:p w14:paraId="7D80D36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берегов - геологическое явление, связанное с размывом и разрушением горных пород в береговой зоне морей (абразия), рек, озер, водохранилищ (береговая эрозия) под влиянием волноприбойной деятельности, колебания уровня воды и других факторов, формирующих береговую линию. Явления, характерные для всех рек на территории Правобережного района.</w:t>
      </w:r>
    </w:p>
    <w:p w14:paraId="523B448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гидрологические явления.</w:t>
      </w:r>
    </w:p>
    <w:p w14:paraId="46C1B4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Опасное гидрологическое явление -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14:paraId="102941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Правобережного района Республики Северная Осетия - Алания и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Беслан в частности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опасным гидрологическим явлениям и процессам относятся:</w:t>
      </w:r>
    </w:p>
    <w:p w14:paraId="19C9F1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подтопления; </w:t>
      </w:r>
    </w:p>
    <w:p w14:paraId="732F74B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затопления;</w:t>
      </w:r>
    </w:p>
    <w:p w14:paraId="7E9CDFD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русловая эрозия (переработка берегов);</w:t>
      </w:r>
    </w:p>
    <w:p w14:paraId="63448C8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сель;</w:t>
      </w:r>
    </w:p>
    <w:p w14:paraId="57D00B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наводнение, половодье, паводок;</w:t>
      </w:r>
    </w:p>
    <w:p w14:paraId="634CB24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подъем уровня грунтовых вод.</w:t>
      </w:r>
    </w:p>
    <w:p w14:paraId="105F21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Подтопление – это повышение уровня грунтовых вод, нарушающее нормальное использование территории, строительство и эксплуатацию расположенных на ней объектов.</w:t>
      </w:r>
    </w:p>
    <w:p w14:paraId="2CA1C7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Подтопление территории осуществляется грунтовыми водами, первым от поверхности водоносным горизонтом. Глубина их залегания определяется климатическими условиями региона, особенностями геологического строения, геоморфологическими условиями, степенью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дренированности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и другими факторами.</w:t>
      </w:r>
    </w:p>
    <w:p w14:paraId="556B07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источник питания грунтовых вод – атмосферные осадки.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(в период паводков), а также из поверхностных водоемов.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подтопленными.</w:t>
      </w:r>
    </w:p>
    <w:p w14:paraId="05FBED4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Подтопление на равнинной территории Северной Осетии-Алании обусловлено гидрологическим режимом рек и, в меньшей степени, выпадением атмосферных осадков. В связи с высокой плотностью сети населенных пунктов возрастает влияние антропогенного фактора на развитие подтопления.</w:t>
      </w:r>
    </w:p>
    <w:p w14:paraId="2CCB64B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Физико-географические условия республики определяют характер гидрографической сети. Гидрографическая сеть представлена р. Терек и ее притоками.</w:t>
      </w:r>
    </w:p>
    <w:p w14:paraId="11E272E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зоны подтопления на территории города Беслана Правобережного района.</w:t>
      </w:r>
    </w:p>
    <w:p w14:paraId="375DEB6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sz w:val="28"/>
        </w:rPr>
        <mc:AlternateContent>
          <mc:Choice Requires="wpg">
            <w:drawing>
              <wp:inline distT="0" distB="0" distL="0" distR="0" wp14:anchorId="663B16E1" wp14:editId="03E999FF">
                <wp:extent cx="5099908" cy="5417396"/>
                <wp:effectExtent l="0" t="0" r="5715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04126" cy="5421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01.6pt;height:426.6pt;" stroked="f">
                <v:path textboxrect="0,0,0,0"/>
                <v:imagedata r:id="rId14" o:title=""/>
              </v:shape>
            </w:pict>
          </mc:Fallback>
        </mc:AlternateContent>
      </w:r>
    </w:p>
    <w:p w14:paraId="291C4A6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Паводки. В отличие от половодья паводки характеризуются интенсивным сравнительно кратковременным увеличением расходов и уровней воды. Естественными причинами возникновения их являются: выпадение затяжных дождей и ливней, интенсивное снеготаяние во время оттепелей, заторы и зажоры льда. Значительное количество дождей ливней, неравномерность их распределения по территории, различная интенсивность и продолжительность, неоднородность речных бассейнов, их рельефа, почвенного и растительного покрова способствуют формированию различных по объему, форме и продолжительности дождевых паводков, наибольшее количество которых приходится на июнь-июль, а самые значительные отмечаются в июне-августе. Нередко паводки проходят один за другим, пиками и волнами и соответствуют количеству ливней и обложных дождей.</w:t>
      </w:r>
    </w:p>
    <w:p w14:paraId="3D5DFF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интенсивность выпадения дождей (до 200 мм в сутки) значительно выше интенсивности снеготаяния (до 30 мм в сутки), то приращение расходов воды при дождевых паводках происходит гораздо резче, чем в период половодья. Подъем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паводочной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волны длится от нескольких часов на малых реках до 5 суток на средних и больших.</w:t>
      </w:r>
    </w:p>
    <w:p w14:paraId="5A2719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факторы, определяющие слой стока и величину максимального расхода воды за время прохождения дождевого паводка, делятся на две группы - гидрометеорологическую и гидромеханическую. К главным факторам гидрометеорологического характера относятся: интенсивность, площадь распространения и слой выпавших за дождь осадков, степень предшествующего увлажнения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запасы воды в русловой сети. Основная группа гидромеханических факторов (площадь водосбора, характер рельефа, механический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определяет скорость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добегания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дождевой воды до замыкающего створа.</w:t>
      </w:r>
    </w:p>
    <w:p w14:paraId="291186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в бассейне малой реки, охватив его полностью, может вызвать высокий паводок. В большом бассейне после такого же дождя, оросившего лишь часть его площади, паводок будет характеризоваться гораздо более низкими значениями уровней.</w:t>
      </w:r>
    </w:p>
    <w:p w14:paraId="206E193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паводков на территории района возможно в результате прохождения ливневых дождей в весенне-летний период. Возможно подтопление 117 домов частного сектора г. Беслан по ул. Надтеречной, (685 человек) и 2 предприятий промышленной зоны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 ЖБИ,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 ЖБК). </w:t>
      </w:r>
    </w:p>
    <w:p w14:paraId="3ACAB85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Наводнения — это значительные затопления местности в результате подъема уровня воды в реке, озере, водохранилище, вызываемого различными причинами (весеннее снеготаяние, выпадение обильных ливневых и дождевых осадков, заторы льда на реках, прорыв плотин, завальных озер и ограждающих дамб, ветровой нагон воды и т. п.). Наводнения возникают, как правило, вследствие обильных осадков. Речное наводнение - разлитие реки, происходящее периодически (в результате таяния снега весной или долгих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ливней). </w:t>
      </w:r>
    </w:p>
    <w:p w14:paraId="0E0E95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Наводнения могут сопровождаться пожарами вследствие обрывов и короткого замыкания электрокабелей и проводов, а также разрывами водопроводных и канализационных труб, электрических, телевизионных и телеграфных кабелей, находящихся в земле, из-за последующей неравномерной осадки грунта.</w:t>
      </w:r>
    </w:p>
    <w:p w14:paraId="607CF82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естественной причиной наводнений является формирование значительных дождевых паводков на фоне высокого летнего половодья. По высоте подъема уровня воды в реках, размерам, площади затопления и величине наносимого ущерба наводнения условно можно разделить на 4 категории: низкие, высокие, выдающиеся и катастрофические, повторяющиеся соответственно 1 раз в 5-20, 21-50, 51-100, 101 и более лет.</w:t>
      </w:r>
    </w:p>
    <w:p w14:paraId="354985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наводнений зависит от частоты выпадения осадков в виде интенсивных и продолжительных дождей. Высота подъема уровня воды в реках определяется размерами половодий и паводков, пропускной способностью русел рек. Величина же ущерба в значительной мере зависит от степени заселенности и застройки речных долин и пойм, наличия и состояния защитных гидротехнических сооружений. Поэтому наводнения представляют собой не только природное явление, но и явление социального характера.</w:t>
      </w:r>
    </w:p>
    <w:p w14:paraId="6089DD3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Низкие наводнения охватывают малые территории в бассейнах отдельных рек, наносят незначительный материальный ущерб, практически не нарушая ритм жизни и производственной деятельности населения, поскольку уровни воды не превышают 160 см по отношению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предпаводочным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63% лет наблюдения). </w:t>
      </w:r>
    </w:p>
    <w:p w14:paraId="23F84F3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наводнения охватывают сравнительно большие участки отдельных речных долин, подчас существенно нарушая хозяйственную деятельность и жизненный уклад населения и нанося серьезный материальный и моральный ущерб. За период гидрологических наблюдений общее количество лет с высокими наводнениями составило 15%.</w:t>
      </w:r>
    </w:p>
    <w:p w14:paraId="0803A8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Выдающиеся наводнения, в отличие от высоких, охватывают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одновременно несколько речных бассейнов, поэтому наносят более ощутимый материальный и моральный ущерб. </w:t>
      </w:r>
    </w:p>
    <w:p w14:paraId="0F5E677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максимальный расход Терека во время паводка 17 августа 1953 г. составлял 400 - 450 куб. м/сек, который больше не отмечался. Из 5 паводков два отмечены в середине июля, два - в начале и во второй половине августа и один в конце июня. Августовскому наводнению по уровню воды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р.Терек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величине водности, размыву и жертвам равных не было за 100 предшествующих лет. От берега до берега, т.е. от склона левой террасы, на которой расположено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правой террасы, по которой проложена автодорога Владикавказ - Беслан, долина Терека была заполнена грязной водой, которая несла корни и стволы деревьев, будки, столы, стулья, крупные валуны и др.</w:t>
      </w:r>
    </w:p>
    <w:p w14:paraId="33B3900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Катастрофические наводнения, которые привели бы к затоплению значительных территорий при уровнях редкой повторяемости (1 раз в сто лет и более), по данным гидрографических исследований последней четверти XIX и всего XX столетия, на территории Северной Осетии не наблюдались.</w:t>
      </w:r>
    </w:p>
    <w:p w14:paraId="0AAA24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Завалы преграждают путь рекам в виде «плотин», вызывающих быстрый рост уровней в их верхних бьефах и практически полное прекращение стока в нижних. После прорыва плотин массы воды устремляются в русла и, переполнив их, затопляют берега.</w:t>
      </w:r>
    </w:p>
    <w:p w14:paraId="3C44646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Правобережного района имеется естественное водохранилище, прорыв которого может представлять угрозу для населения Республики.</w:t>
      </w:r>
    </w:p>
    <w:p w14:paraId="26CCB87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метеорологические явления.</w:t>
      </w:r>
    </w:p>
    <w:p w14:paraId="16CD2FB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метеорологические явления – природные процессы и явления, возникающие в атмосфере под действием различных природных факторов или их сочетаний, оказывающие или могущие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14:paraId="58ABE6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Беслан к опасным метеорологическим явлениям и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процессам относятся:</w:t>
      </w:r>
    </w:p>
    <w:p w14:paraId="55A397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сильный ветер, шторм, шквал, ураган;</w:t>
      </w:r>
    </w:p>
    <w:p w14:paraId="7FF7A28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сильные осадки: (продолжительный дождь, сильный снегопад, гололед, град);</w:t>
      </w:r>
    </w:p>
    <w:p w14:paraId="5A22E22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туман;</w:t>
      </w:r>
    </w:p>
    <w:p w14:paraId="074A7B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заморозок;</w:t>
      </w:r>
    </w:p>
    <w:p w14:paraId="4F7D84C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гроза.</w:t>
      </w:r>
    </w:p>
    <w:p w14:paraId="1D5B9D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Сильные ветры. К числу опасных явлений погоды относят ветер со скоростью более 15 м/с. Последствиями их возникновения являются выход из строя воздушных линий электропередачи и связи, антенно-мачтовых и других подобных сооружений. Сильный ветер срывает с корнем деревья и крыши домов.</w:t>
      </w:r>
    </w:p>
    <w:p w14:paraId="5EB38EA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низких температурах ветры способствуют возникновению таких опасных метеорологических явлений, как гололед, изморозь, наледь.</w:t>
      </w:r>
    </w:p>
    <w:p w14:paraId="29757D8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Буря – это ливень, сопровождающийся сильным ветром шквального характера, что может легко вызвать паводок в реке, наводнение или сель. Буре часто предшествует гроза, сильные электрические разряды молнии.</w:t>
      </w:r>
    </w:p>
    <w:p w14:paraId="1B5CA4F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того, что характерные для бурь скорости ветра значительно меньше, чем у ураганов, приводят к гораздо меньшим разрушительным последствиям. Однако и в этом случае возможен значительный ущерб сельскому хозяйству, транспорту и другим отраслям, а также гибель людей.</w:t>
      </w:r>
    </w:p>
    <w:p w14:paraId="4C316F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Ураганы — это чрезвычайно быстрое и сильное, нередко большой разрушительной силы и значительной продолжительности движение воздуха. Скорость урагана достигает 30 м/с (средние разрушения) и более. Он является одной из мощных сил стихии и по своему пагубному воздействию может сравниться с землетрясением.</w:t>
      </w:r>
    </w:p>
    <w:p w14:paraId="1F82C3D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Сильные осадки. Продолжительный дождь, ливень могут вызвать паводки рек. </w:t>
      </w:r>
    </w:p>
    <w:p w14:paraId="76A046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Грозы и град являются одним из наиболее опасных явлений природы. В годовом цикле число дней с грозой увеличивается от весны к лету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уменьшается к осени. </w:t>
      </w:r>
    </w:p>
    <w:p w14:paraId="7DAA7CF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Длительные ливневые дожди могут привести к нарушению работы систем канализации, затоплению подвальных помещений.</w:t>
      </w:r>
    </w:p>
    <w:p w14:paraId="1088D9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Грозовые разряды, вторичные проявления молнии могут явиться источниками инициирования пожаров на территории населённого пункта, отказам систем электроснабжения.</w:t>
      </w:r>
    </w:p>
    <w:p w14:paraId="6CFCF43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 - вид атмосферных осадков, состоящих из сферических частиц или кусочков льда размером от 5 до 55 мм, иногда и больше (встречаются градины размером 130 мм и массой около 1 кг). Градины состоят из прозрачного льда или из ряда слоев прозрачного льда толщиной не менее 1 мм, чередующихся с полупрозрачными слоями. Зародыши градин образуются в переохлажденном облаке за счёт случайного замерзания отдельных капель. В дальнейшем такие зародыши могут вырасти до значительных размеров,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намерзанию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сталкивающихся с ними переохлажденных капель. Крупные градины могут появиться только при наличии в облаках сильных восходящих токов. </w:t>
      </w:r>
    </w:p>
    <w:p w14:paraId="3F329A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Выпадение града связано, как правило: </w:t>
      </w:r>
    </w:p>
    <w:p w14:paraId="135B58E3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прохождением областей пониженного давления; </w:t>
      </w:r>
    </w:p>
    <w:p w14:paraId="326DB7A9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резкой неустойчивостью воздушных масс; </w:t>
      </w:r>
    </w:p>
    <w:p w14:paraId="362B94E7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местными орографическими особенностями: </w:t>
      </w:r>
    </w:p>
    <w:p w14:paraId="40FC38D6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предгорных и горных районах град выпадает чаще, чем в равнинных;</w:t>
      </w:r>
    </w:p>
    <w:p w14:paraId="271D3832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крупные водоемы оказывают существенное влияние на уменьшение числа дней с градом. </w:t>
      </w:r>
    </w:p>
    <w:p w14:paraId="270190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град выпадает при сильных грозах, в тёплое время года (температура у земной поверхности обычно выше 20 °С) на узкой, шириной несколько километров (иногда около 10 км), а длиной - десятки, а иногда и сотни километров полосе. Слой выпавшего града составляет обычно несколько см, иногда десятки см, продолжительность выпадения от нескольких минут до получаса, чаще всего 5-10 минут. В 1 минуту на 1 м² падает 500-1000 градин, их плотность 0,5—0,9 г/см², скорость падения - </w:t>
      </w:r>
      <w:r>
        <w:rPr>
          <w:rFonts w:ascii="Times New Roman" w:hAnsi="Times New Roman" w:cs="Times New Roman"/>
          <w:sz w:val="28"/>
          <w:szCs w:val="28"/>
        </w:rPr>
        <w:lastRenderedPageBreak/>
        <w:t>десятки м/сек.</w:t>
      </w:r>
    </w:p>
    <w:p w14:paraId="020FBE7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Туман. Важной характеристикой туманов является их продолжительность, которая колеблется в очень широких пределах и имеет четко выраженный годовой ход с максимумом зимой и минимумом летом.</w:t>
      </w:r>
    </w:p>
    <w:p w14:paraId="310B56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тумана наиболее вероятны случаи дорожно-транспортных происшествий.</w:t>
      </w:r>
    </w:p>
    <w:p w14:paraId="1B098E4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Обледенения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гололедно-изморозевые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отложения), возникающие в холодный период года, способствуют появлению отложений льда на деталях сооружений, проводах воздушных линий связи и электропередач, на ветвях и стволах деревьев. В крае на метеостанции ведутся наблюдения за такими видами отложений, как гололед, кристаллическая и зернистая изморозь, мокрый снег. </w:t>
      </w:r>
    </w:p>
    <w:p w14:paraId="58A34F2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всех видов обледенения наиболее частым является гололед. Для образования гололеда характерен интервал температур от 0 до минус 5ºС и скорость ветра от 1 до 9 м/с, а для изморози температура воздуха колеблется от минус 5 до минус 10ºС при скорости ветра от 0 до 5 м/с. </w:t>
      </w:r>
    </w:p>
    <w:p w14:paraId="0C21129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Географическое положение Республики Северная Осетия-Алания (близость к незамерзающему Каспийскому и Черному морям, открытость по отношению к северным и восточным холодным вторжениям, большая орографическая расчлененность в сочетании с расположением на границе умеренной и субтропической зон) определяет распространение и частоту повторяемости стихийных и опасных гидрометеорологических явлений.</w:t>
      </w:r>
    </w:p>
    <w:p w14:paraId="6BD403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систематически наблюдающиеся в республике крупномасштабные градобития, сопровождаемые интенсивными ливневыми дождями и ураганным (шквалистым) ветром, наносят большой ущерб:</w:t>
      </w:r>
    </w:p>
    <w:p w14:paraId="3FA0BA1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постройкам (бьются оконные стекла, шиферные черепичные крыши жилых домов, школ, детских садов, служебных помещений);</w:t>
      </w:r>
    </w:p>
    <w:p w14:paraId="1410AA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выводятся из строя (сломанными и вырванными с корнем деревьями) линии электроснабжения и телефонной связи;</w:t>
      </w:r>
    </w:p>
    <w:p w14:paraId="5E6D950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нарушается функционирование городских и сельских коммуникаций </w:t>
      </w:r>
      <w:r>
        <w:rPr>
          <w:rFonts w:ascii="Times New Roman" w:hAnsi="Times New Roman" w:cs="Times New Roman"/>
          <w:sz w:val="28"/>
          <w:szCs w:val="28"/>
        </w:rPr>
        <w:lastRenderedPageBreak/>
        <w:t>(водоснабжение, сливная канализация, размываются дороги, особенно в горных районах).</w:t>
      </w:r>
    </w:p>
    <w:p w14:paraId="2CFB51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статистических наблюдений природных ЧС показывает, что процессы, относящиеся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метеокатастрофам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обычны в Северной Осетии. Только за период 2002-2006 гг. на территории республики имели место сильные продолжительные дожди, град, сильный ветер.</w:t>
      </w:r>
    </w:p>
    <w:p w14:paraId="40804BB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Ущерб, наносимый экономике республики опасными гидрометеорологическими процессами, ежегодно исчисляется десятками миллионов рублей.</w:t>
      </w:r>
    </w:p>
    <w:p w14:paraId="14E5DA2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Ветровой режим на территории республики очень неоднороден за счет неоднородности подстилающей поверхности. Поэтому при характеристике его следует выделить равнинную и горную части республики.</w:t>
      </w:r>
    </w:p>
    <w:p w14:paraId="50EE5A1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равнинной части циркуляция у земной поверхности отличается широтной направленностью в течение всего года. Повторяемость штилей летом уменьшается до 10% (зимой - 16%), что связано с увеличением повторяемости процессов западного переноса воздушных масс. Средняя годовая скорость ветра невелика и изменяется в пределах 1,6-2,8 м/с. Максимальная скорость ветра может достигать 28 м/с и отмечается довольно редко. Среднее число дней с сильным ветром (более 15 м/с) составляет 4,6 в летний период и 1,8 - в зимний. Наибольшее число дней с сильным ветром — в июне (8), наименьшее - в декабре (2). Сильные ветры во время засушливого периода могут сопровождаться пыльными бурями (11 дней за год). Уменьшение скорости ветра на равнинной части зимой происходит за счет частого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стационирования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антициклонов над равнинами Восточного Предкавказья.</w:t>
      </w:r>
    </w:p>
    <w:p w14:paraId="6302007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стихийных явлений для территории существенны также аномальные значения температуры воздуха. Особенно актуально это явление стало в последние годы и обусловлено начавшимся в последние десятилетия глобальным изменением климата, сопровождающимся увеличением температуры воздуха и количества атмосферных осадков.</w:t>
      </w:r>
    </w:p>
    <w:p w14:paraId="5ED98B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экстремальные значения гидрометеорологических явлений отмечаются на территории с повторяемостью от 1-2 раз в 10-20 лет до 1 раза в 50-70 лет. Ущерб от них с каждым годом увеличивается в связи с начавшимся в последние десятилетия глобальным изменением климата, сопровождающимся увеличением температуры воздуха и количества атмосферных осадков.</w:t>
      </w:r>
    </w:p>
    <w:p w14:paraId="5AD27A5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подчеркнуть, что проблема прогноза, обнаружения и защиты от опасных явлений погоды и склоновых гидрометеорологических процессов является одной из важнейших задач защиты от чрезвычайных ситуаций и устойчивого развития экономики.</w:t>
      </w:r>
    </w:p>
    <w:p w14:paraId="57AC7402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Решения по предупреждению чрезвычайных ситуаций природного характера.</w:t>
      </w:r>
    </w:p>
    <w:p w14:paraId="0DEB5C1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при строительстве в сейсмических районах.</w:t>
      </w:r>
    </w:p>
    <w:p w14:paraId="193910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городского округа относится к районам с сейсмической интенсивностью. В баллах по шкале МSК-64 для средних грунтовых условий соответствуют три степени сейсмической опасности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Владикавказ: А(10%) - 8; В(5%)-9; С-(1%)-10. Строительство в районах с повышенной сейсмичностью проводится в соответствии с требованиями СНиП II-7-81*, по СНиП 11-7-8 «Строительство в сейсмически активных районах».</w:t>
      </w:r>
    </w:p>
    <w:p w14:paraId="3D2AF02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Противоэрозионные мероприятия.</w:t>
      </w:r>
    </w:p>
    <w:p w14:paraId="334B47E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растительности, регулирования и укрепления русел водоемов. Рекомендуется выполнять укрепление склонов посевом трав, посадкой деревьев и кустарников для проветривания и быстрого осушения склонов. </w:t>
      </w:r>
    </w:p>
    <w:p w14:paraId="6A11626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подтопления.</w:t>
      </w:r>
    </w:p>
    <w:p w14:paraId="37F9A15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от подтопления решается комплексно, методами, предусматривающими организационные и инженерные мероприятия, обеспечивающие необходимое понижение УГВ, нормальную эксплуатацию </w:t>
      </w:r>
      <w:r>
        <w:rPr>
          <w:rFonts w:ascii="Times New Roman" w:hAnsi="Times New Roman" w:cs="Times New Roman"/>
          <w:sz w:val="28"/>
          <w:szCs w:val="28"/>
        </w:rPr>
        <w:lastRenderedPageBreak/>
        <w:t>зданий и сооружений.</w:t>
      </w:r>
    </w:p>
    <w:p w14:paraId="7EAFC48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обозначена граница затапливаемых территорий однопроцентным паводком. В извилистых местах реки проводится работа по спрямлению и углублению русла. При реконструкции и при выполнении нового строительства на данных территориях необходимо предусматривать инженерные мероприятия от затопления. </w:t>
      </w:r>
    </w:p>
    <w:p w14:paraId="38141A4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угрожающий период организуется дежурство и поддерживается готовность формирований ГО. Проводится заблаговременная эвакуация населения, вывод техники и др.</w:t>
      </w:r>
    </w:p>
    <w:p w14:paraId="76420E7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борьбе с оползнями, обвально-осыпными процессами, селями, лавинами.</w:t>
      </w:r>
    </w:p>
    <w:p w14:paraId="5F317C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оползневых территорий устанавливают по данным комплексных инженерных изысканий. При проектировании инженерной защиты от оползней, обвальных процессов и селей следует рассматривать целесообразность применения следующих мероприятий и сооружений, направленных на предотвращения и стабилизацию этих процессов.</w:t>
      </w:r>
    </w:p>
    <w:p w14:paraId="0880B2A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борьбе с оползнями:</w:t>
      </w:r>
    </w:p>
    <w:p w14:paraId="4C5381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рельефа склона для повышения его устойчивости;</w:t>
      </w:r>
    </w:p>
    <w:p w14:paraId="3AA364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стока поверхностных вод;</w:t>
      </w:r>
    </w:p>
    <w:p w14:paraId="2949DC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предотвращение инфильтрации воды в грунт и эрозионных процессов;</w:t>
      </w:r>
    </w:p>
    <w:p w14:paraId="11930D1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агролесомелиорация;</w:t>
      </w:r>
    </w:p>
    <w:p w14:paraId="5169172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грунтов,</w:t>
      </w:r>
    </w:p>
    <w:p w14:paraId="47A9DB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удерживающих сооружений.</w:t>
      </w:r>
    </w:p>
    <w:p w14:paraId="5A5E6C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инженерной защиты территорий, зданий и сооружений от селевых потоков применяют следующие виды сооружений и мероприятий: </w:t>
      </w:r>
    </w:p>
    <w:p w14:paraId="7375116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службы наблюдения и оповещения,</w:t>
      </w:r>
    </w:p>
    <w:p w14:paraId="6D28E73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селезадерживающие,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селепропускные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стабилизирующие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селепредотвращающие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сооружения.</w:t>
      </w:r>
    </w:p>
    <w:p w14:paraId="553B2AA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инженерной защиты территорий, зданий и сооружений от снежных лавин применяют следующие виды сооружений и мероприятий: </w:t>
      </w:r>
    </w:p>
    <w:p w14:paraId="59E13F3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службы наблюдения прогноза и оповещения;</w:t>
      </w:r>
    </w:p>
    <w:p w14:paraId="3143BB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лавинопредотвращающие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снегоудерживающих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сооружений;</w:t>
      </w:r>
    </w:p>
    <w:p w14:paraId="0E7B6F7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лавинозащитные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направляющие, тормозящие и пропускающие сооружения.</w:t>
      </w:r>
    </w:p>
    <w:p w14:paraId="306FFAA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противолавинных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 сооружений и мероприятий следует производить с учетом режима и характеристик лавин и снегового покрова в зоне зарождения, а также уровня ответственности защищаемых сооружений, их конструктивных и эксплуатационных особенностей.</w:t>
      </w:r>
    </w:p>
    <w:p w14:paraId="52EFAB0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освоения территории, рельеф которой пересечен оврагами, предусматриваются мероприятия, направленные на предотвращение эрозии почвы и рациональное градостроительное использование. </w:t>
      </w:r>
    </w:p>
    <w:p w14:paraId="4F8083D5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4E51E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просадочных территорий.</w:t>
      </w:r>
    </w:p>
    <w:p w14:paraId="27A7F3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мероприятиями инженерной подготовки являются:</w:t>
      </w:r>
    </w:p>
    <w:p w14:paraId="714337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отведения поверхностного стока;</w:t>
      </w:r>
    </w:p>
    <w:p w14:paraId="3AC58CB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дренажной системы в границах территории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типа;</w:t>
      </w:r>
    </w:p>
    <w:p w14:paraId="47B407A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уплотнение тяжелыми трамбовками устройство грунтовых подушек;</w:t>
      </w:r>
    </w:p>
    <w:p w14:paraId="6096238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вытрамбовывания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котлована, с устройством уширения из жесткого материала химическим или термическим способом.</w:t>
      </w:r>
    </w:p>
    <w:p w14:paraId="7ADCC82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рекомендуется прорезать грунтовую толщу и опирать фундаменты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основания. </w:t>
      </w:r>
    </w:p>
    <w:p w14:paraId="02F86F0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прибрежной территории.</w:t>
      </w:r>
    </w:p>
    <w:p w14:paraId="0FC7D2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основным водотоком является р. Терек.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незарегулированных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русло реки, блуждая в пределах поймы, подмывает и разрушает берега.</w:t>
      </w:r>
    </w:p>
    <w:p w14:paraId="7FDAE83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упорядочением застройки и развитием рекреационных зон в границах городского округа проектом предлагается выполнить мероприятия по регулированию русла реки (расчистка, дноуглубление, спрямление русла при необходимости), берегоукрепление в виде устройства набережной.</w:t>
      </w:r>
    </w:p>
    <w:p w14:paraId="0C0BE24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остальном протяжении городских берегов устанавливается линия регулирования береговой полосы с укреплением откосов и обеспечением их устойчивости.</w:t>
      </w:r>
    </w:p>
    <w:p w14:paraId="3EF44BC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при строительстве в сейсмических районах.</w:t>
      </w:r>
    </w:p>
    <w:p w14:paraId="3D0CF66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городского округа относится к районам с сейсмической интенсивностью. В баллах по шкале МSК-64 для средних грунтовых условий соответствуют три степени сейсмической опасности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Владикавказ: А(10%) - 8; В(5%)-9; С-(1%)-10. Строительство в районах с повышенной сейсмичностью проводится в соответствии с требованиями СНиП II-7-81*, по СНиП 11-7-8 «Строительство в сейсмически активных районах».</w:t>
      </w:r>
    </w:p>
    <w:p w14:paraId="35559BB8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43B49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Противоэрозионные мероприятия.</w:t>
      </w:r>
    </w:p>
    <w:p w14:paraId="3072E6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растительности, регулирования и укрепления русел водоемов. Рекомендуется выполнять укрепление склонов посевом трав, посадкой деревьев и кустарников для проветривания и быстрого осушения склонов. </w:t>
      </w:r>
    </w:p>
    <w:p w14:paraId="4302D0AA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0BDAC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подтопления.</w:t>
      </w:r>
    </w:p>
    <w:p w14:paraId="07D4058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от подтопления решается комплексно, методами, предусматривающими организационные и инженерные мероприятия, обеспечивающие необходимое понижение УГВ, нормальную эксплуатацию зданий и сооружений.</w:t>
      </w:r>
    </w:p>
    <w:p w14:paraId="6BE465E7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263DA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затопления.</w:t>
      </w:r>
    </w:p>
    <w:p w14:paraId="3A18683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обозначена граница затапливаемых территорий однопроцентным паводком. В извилистых местах реки проводится работа по спрямлению и углублению русла. При реконструкции и при выполнении нового строительства на данных территориях необходимо предусматривать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инженерные мероприятия от затопления. </w:t>
      </w:r>
    </w:p>
    <w:p w14:paraId="5562EE6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угрожающий период организуется дежурство и поддерживается готовность формирований ГО. Проводится заблаговременная эвакуация населения, вывод техники и др. </w:t>
      </w:r>
    </w:p>
    <w:p w14:paraId="4F61D3B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просадочных территорий.</w:t>
      </w:r>
    </w:p>
    <w:p w14:paraId="7704FB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мероприятиями инженерной подготовки являются:</w:t>
      </w:r>
    </w:p>
    <w:p w14:paraId="152EC2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отведения поверхностного стока;</w:t>
      </w:r>
    </w:p>
    <w:p w14:paraId="3DDE94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дренажной системы в границах территории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типа;</w:t>
      </w:r>
    </w:p>
    <w:p w14:paraId="1EE7390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уплотнение тяжелыми трамбовками устройство грунтовых подушек;</w:t>
      </w:r>
    </w:p>
    <w:p w14:paraId="27844B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вытрамбовывания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котлована, с устройством уширения из жесткого материала химическим или термическим способом.</w:t>
      </w:r>
    </w:p>
    <w:p w14:paraId="195B5F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рекомендуется прорезать грунтовую толщу и опирать фундаменты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основания. </w:t>
      </w:r>
    </w:p>
    <w:p w14:paraId="617899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прибрежной территории.</w:t>
      </w:r>
    </w:p>
    <w:p w14:paraId="6AA351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основным водотоком является р. Терек.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незарегулированных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русло реки, блуждая в пределах поймы, подмывает и разрушает берега.</w:t>
      </w:r>
    </w:p>
    <w:p w14:paraId="1686FA5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упорядочением застройки и развитием рекреационных зон в границах городского округа проектом предлагается выполнить мероприятия по регулированию русла реки (расчистка, дноуглубление, спрямление русла при необходимости), берегоукрепление в виде устройства набережной.</w:t>
      </w:r>
    </w:p>
    <w:p w14:paraId="533E00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остальном протяжении городских берегов устанавливается линия регулирования береговой полосы с укреплением откосов и обеспечением их устойчивости.</w:t>
      </w:r>
    </w:p>
    <w:p w14:paraId="0CA5C06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положениям нормативно правовых актов в области классификации опасных природных процессов категория сложности природных процессов принимается как сложные. Такая классификация определена по преобладающему фактору, а именно охвату более 50% территории города Беслан потенциальной сейсмической интенсивностью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 7 баллов.</w:t>
      </w:r>
    </w:p>
    <w:p w14:paraId="4DD33F6E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353D25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Перечень возможного возникновения чрезвычайных ситуаций техногенного характера.</w:t>
      </w:r>
    </w:p>
    <w:p w14:paraId="61779AA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Беслан техногенных источников возникновения опасных химических процессов (аварии с угрозой выброса аварийно-химически опасных веществ (АХОВ), радиационно-опасных объектов (аварии с угрозой выброса радиоактивных веществ),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опасных объектов (аварии, связанные с разрушением сооружений напорного фронта гидротехнических сооружений (плотин, дамб и др.), а также объектов, угрожающих заражением токсическими веществами при разрушении обвалования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шламохранилищ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44747C7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объекты - пожары и взрывы.</w:t>
      </w:r>
    </w:p>
    <w:p w14:paraId="43D8AB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находится полигон твердых бытовых отходов, объекты коммунальной инфраструктуры (котельные, трансформаторные подстанции и пр.), так же автозаправочные станции и нефтехранилище. Нефтебаза ОАО «Роснефть-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располагается по адресу г. Беслан, ул. Красноармейская, 1. Данный объект представляет особый интерес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взрыво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-пожароопасности. Находится на удалении от жилой застройки.</w:t>
      </w:r>
    </w:p>
    <w:p w14:paraId="6A32F4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предприятия строительной, спиртовой отрасли, сельскохозяйственной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промышленности - спиртзавод "Альянс", ООО «Салют – Плюс», ООО «Бесланский Завод "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Автоспецоборудование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"», Маисовый комбинат и "Ариана-С", Бесланский комбинат хлебопродуктов, Совхоз "Бесланский", "ПМК-83", "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Заготзерно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>", Ликёро-водочный завод "Исток", ООО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Фаюр</w:t>
      </w:r>
      <w:proofErr w:type="spellEnd"/>
      <w:r>
        <w:rPr>
          <w:rFonts w:ascii="Times New Roman" w:hAnsi="Times New Roman" w:cs="Times New Roman"/>
          <w:sz w:val="28"/>
          <w:szCs w:val="28"/>
        </w:rPr>
        <w:t>-союз", Агрофирма Фарн и пр.</w:t>
      </w:r>
    </w:p>
    <w:p w14:paraId="3FD93F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происшествия на транспорте при перевозке опасных грузов.</w:t>
      </w:r>
    </w:p>
    <w:p w14:paraId="0C60AD3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опасным происшествия на транспорте при перевозке опасных относятся: </w:t>
      </w:r>
    </w:p>
    <w:p w14:paraId="73E246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аварии на автомобильном транспорте при перевозке опасных </w:t>
      </w:r>
      <w:r>
        <w:rPr>
          <w:rFonts w:ascii="Times New Roman" w:hAnsi="Times New Roman" w:cs="Times New Roman"/>
          <w:sz w:val="28"/>
          <w:szCs w:val="28"/>
        </w:rPr>
        <w:lastRenderedPageBreak/>
        <w:t>грузов;</w:t>
      </w:r>
    </w:p>
    <w:p w14:paraId="4AC185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аварии на железнодорожном транспорте при перевозке опасных грузов;</w:t>
      </w:r>
    </w:p>
    <w:p w14:paraId="7D301C6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аварии на трубопроводном транспорте при транспортировке опасных веществ.</w:t>
      </w:r>
    </w:p>
    <w:p w14:paraId="39BF382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территории городского поселения г. Беслан Правобережного</w:t>
      </w:r>
    </w:p>
    <w:p w14:paraId="77D9C64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Республики Северная Осетия – Алания проходят</w:t>
      </w:r>
    </w:p>
    <w:p w14:paraId="7898354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однопутные электрифицированные участки Северо-Кавказской железной дороги филиала ОАО» РЖД»: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Дарг</w:t>
      </w:r>
      <w:proofErr w:type="spellEnd"/>
      <w:r>
        <w:rPr>
          <w:rFonts w:ascii="Times New Roman" w:hAnsi="Times New Roman" w:cs="Times New Roman"/>
          <w:sz w:val="28"/>
          <w:szCs w:val="28"/>
        </w:rPr>
        <w:t>-Кох – Назрань, Беслан – Владикавказ.</w:t>
      </w:r>
    </w:p>
    <w:p w14:paraId="0241F5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поселения расположены станция Беслан и остановочные пункты:</w:t>
      </w:r>
    </w:p>
    <w:p w14:paraId="377186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Заводская, Ост. пункт 1 км.</w:t>
      </w:r>
    </w:p>
    <w:p w14:paraId="1934766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по территории городского поселения</w:t>
      </w:r>
    </w:p>
    <w:p w14:paraId="0CAF8EB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Беслана проходят автомобильных дорогах общего пользования федерального значения:</w:t>
      </w:r>
    </w:p>
    <w:p w14:paraId="46038E0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Р-217 «Кавказ» автомобильная дорога М-4 «Дон» – Владикавказ – Грозный– Махачкала – граница с Азербайджанской Республикой, категория – II, IБ;</w:t>
      </w:r>
    </w:p>
    <w:p w14:paraId="116D54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А-163 подъездная дорога от автомобильной дороги Р-217 «Кавказ» к аэропорту г. Владикавказа, категория – II.</w:t>
      </w:r>
    </w:p>
    <w:p w14:paraId="2A5737E9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Перечень возможных источников чрезвычайных ситуаций биолого-социального характера.</w:t>
      </w:r>
    </w:p>
    <w:p w14:paraId="6F08BA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техногенных источников чрезвычайных ситуаций биолого-социального характера нет.</w:t>
      </w:r>
    </w:p>
    <w:p w14:paraId="3CDAB2E7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lastRenderedPageBreak/>
        <w:t>Решения по предупреждению чрезвычайных ситуаций техногенного характера, в том числе перечень мероприятий по обеспечению пожарной безопасности.</w:t>
      </w:r>
    </w:p>
    <w:p w14:paraId="2D0E131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Потери и разрушения могут быть при авариях на объектах, использующих в своих технологических процессах опасные вещества.</w:t>
      </w:r>
    </w:p>
    <w:p w14:paraId="0FFE7A8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авариях лучший способ защиты – срочная эвакуация из зоны заражения.</w:t>
      </w:r>
    </w:p>
    <w:p w14:paraId="30AE35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Население, рабочие, служащие, своевременно предупрежденные о грозящей опасности по системе оповещения ГО, пешим порядком или используя наземный транспорт, покидают зону заражения, удаляясь от очага поражения в направлении, перпендикулярном направлению ветра.</w:t>
      </w:r>
    </w:p>
    <w:p w14:paraId="264C0CA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покинуть зону заражения по каким-либо причинам не удастся, необходимо воспользоваться защитными сооружениями с режимом полной изоляции.</w:t>
      </w:r>
    </w:p>
    <w:p w14:paraId="4E8E07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мер по предупреждению возникновения аварий на химически опасных объектах и связанных с ними потерь среди населения и работающих смен должны выполнятся следующие мероприятия:</w:t>
      </w:r>
    </w:p>
    <w:p w14:paraId="39CC73F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кардинальным решением является вывод с густонаселенной территории округа потенциально опасных объектов, в первую очередь объектов непрофильных для жизнеобеспечения населения округа производств;</w:t>
      </w:r>
    </w:p>
    <w:p w14:paraId="7388D5E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устаревших технологий, использующих сильнодействующие ядовитые вещества, на новые, безвредные, модернизация устаревшего оборудования;</w:t>
      </w:r>
    </w:p>
    <w:p w14:paraId="63836B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постоянный контроль, своевременное проведение регламентных работ и профилактический ремонт, контроль за состоянием оборудования;</w:t>
      </w:r>
    </w:p>
    <w:p w14:paraId="43BBBF0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нормативных запасов сильнодействующих ядовитых веществ;</w:t>
      </w:r>
    </w:p>
    <w:p w14:paraId="149D733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обслуживающего персонала правилам техники безопасности, обеспечение средствами индивидуальной защиты, регулярная проверка знаний;</w:t>
      </w:r>
    </w:p>
    <w:p w14:paraId="775A243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своевременные меры по организации вывода населения из зон заражения при авариях на потенциально опасных объектах.</w:t>
      </w:r>
    </w:p>
    <w:p w14:paraId="582BB83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 мероприятием по предупреждению и снижению возможных потерь при возникновении аварий с химически опасными веществами является заблаговременное создание системы оповещения населения о грозящей опасности.</w:t>
      </w:r>
    </w:p>
    <w:p w14:paraId="2046908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важным моментом для снижения возможных потерь среди населения, является его обучение действиям по сигналам гражданской обороны, а также создание запасов средств индивидуальной защиты.</w:t>
      </w:r>
    </w:p>
    <w:p w14:paraId="4E22C1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Потенциальную опасность возникновения чрезвычайных ситуаций создают подземные инженерные сети и сооружения.</w:t>
      </w:r>
    </w:p>
    <w:p w14:paraId="2664BD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ощутимы для населения в мирное время аварии на сетях теплоснабжения, канализации.</w:t>
      </w:r>
    </w:p>
    <w:p w14:paraId="01D378C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Теплоснабжение.</w:t>
      </w:r>
    </w:p>
    <w:p w14:paraId="28CD79C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Безаварийная работа сетей теплоснабжения является важным фактором жизнеобеспечения населения. Возникновение аварийных ситуаций на сетях может вызвать опасные последствия для населения рассматриваемой территории. В зимний период размораживание сети приведет к большему объему восстановительных работ. Прорыв магистральных сетей влечет за собой размыв и подвижку грунта, что является чрезвычайно опасным для сооружений рассматриваемой территории.</w:t>
      </w:r>
    </w:p>
    <w:p w14:paraId="6DC5C16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теплоснабжения проектом генерального плана предлагается следующие мероприятия: выполнение работ по реконструкции котельных с модернизацией установленного оборудования.</w:t>
      </w:r>
    </w:p>
    <w:p w14:paraId="569A66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Надежность всех сетей теплоснабжения районов зависит от надежности головных сооружений и магистральных тепловых сетей, находящихся за пределами рассматриваемой территории.</w:t>
      </w:r>
    </w:p>
    <w:p w14:paraId="7C52E9B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Канализование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3DDF51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Надежная работа системы канализации чрезвычайно важна для населения. Выход ее из строя может привести к антисанитарной </w:t>
      </w:r>
      <w:r>
        <w:rPr>
          <w:rFonts w:ascii="Times New Roman" w:hAnsi="Times New Roman" w:cs="Times New Roman"/>
          <w:sz w:val="28"/>
          <w:szCs w:val="28"/>
        </w:rPr>
        <w:lastRenderedPageBreak/>
        <w:t>эпидемиологической обстановке, созданию чрезвычайной ситуации.</w:t>
      </w:r>
    </w:p>
    <w:p w14:paraId="45104FE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 способы предупреждения и борьбы</w:t>
      </w:r>
    </w:p>
    <w:p w14:paraId="1DD5C42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генерального плана предлагается рад мероприятий по обеспечению безопасности работы инженерных коммуникаций.</w:t>
      </w:r>
    </w:p>
    <w:p w14:paraId="2CD3F73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предупреждения возникновения возможных аварий на коммунально-энергетических сетях нужен постоянный контроль за их состоянием и своевременные регламентные им ремонтные работы.</w:t>
      </w:r>
    </w:p>
    <w:p w14:paraId="5ABF14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запланированных планировочных, организационно-технических, инженерно-технических мероприятий ожидается снижение уровня возникновения чрезвычайных ситуаций природного и техногенного характера, что ведет к улучшению условий проживания населения в пределах расчетного срока Генерального плана, в том числе по следующим показателям:</w:t>
      </w:r>
    </w:p>
    <w:p w14:paraId="6F90BBC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ликвидация проблемных эколого-градостроительных зон и ситуаций на территориях жилой застройки (вывод вредных или перепрофилирование предприятий, снижение размеров СЗЗ). В случае не достижения нормативных требований по санитарно-защитным зонам - расселение жилищного фонда и вывод объектов социальной инфраструктуры из СЗЗ; </w:t>
      </w:r>
    </w:p>
    <w:p w14:paraId="1E818C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усиление защитных зеленых зон между промышленными и жилыми территориями; </w:t>
      </w:r>
    </w:p>
    <w:p w14:paraId="6B0837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экологическая реабилитация водных объектов города путем уменьшения сброса загрязняющих веществ, реконструкции и строительства ливневых очистных сооружений, развития системы ливневой канализации, организации и благоустройства водоохранных зон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553017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населения стандартной питьевой водой, достижение современного уровня инженерного благоустройства селитебных территорий; </w:t>
      </w:r>
    </w:p>
    <w:p w14:paraId="4C6CA58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шумового загрязнения в жилой застройке, уменьшение количества населения, проживающего в зонах акустического дискомфорта; </w:t>
      </w:r>
    </w:p>
    <w:p w14:paraId="7F16D75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зданий и сооружений от негативных инженерно-геологических процессов; </w:t>
      </w:r>
    </w:p>
    <w:p w14:paraId="2A50711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снижение техногенной нагрузки на территорию города за счет создания системы управления движением отходов, расширения системы вторичного использования и переработки отходов, строительства сооружений размещения и переработки ТБО, ликвидации несанкционированных свалок; </w:t>
      </w:r>
    </w:p>
    <w:p w14:paraId="6B0F274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улучшение состояния атмосферного воздуха в жилых районах за счет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атмосфероохранных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по снижению выбросов загрязняющих веществ от стационарных источников и проведения комплекса мероприятий по оптимизации транспортной инфраструктуры города; </w:t>
      </w:r>
    </w:p>
    <w:p w14:paraId="3F633AF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природно-экологического каркаса и обеспечение нормативных требований по озеленению городских территорий, в том числе сохранение городских лесов, поддержание устойчивого функционирования особо охраняемых природных территорий, развитие массовых и специализированных видов рекреации, спорта.</w:t>
      </w:r>
    </w:p>
    <w:p w14:paraId="5CDA03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Беслан отсутствуют особо опасные и технологически сложные объекты, требующие специальной системы обеспечения пожаротушения. На территории взрывопожароопасных и прочих, промышленных предприятий формируется внутренняя система пожаротушения, а также прочие элементы инфраструктуры, необходимы для оперативного проведения работ (сети дополнительного внешнего водоснабжения, резервуары и пр.). </w:t>
      </w:r>
    </w:p>
    <w:p w14:paraId="32D662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пожаротушения прочих объектов в городе имеется сеть пожарных гидрантов и точек подключения, необходимых для оперативного пополнения воды в целях пожаротушения.</w:t>
      </w:r>
    </w:p>
    <w:p w14:paraId="658EF2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расположении имеющихся и проектируемых пожарных депо</w:t>
      </w:r>
    </w:p>
    <w:p w14:paraId="3804309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данным, предоставленным при сборе информации, проектируемых объектов пожаротушения (пожарных депо) на территории города Беслан к размещению не планируется. К имеющимся пожарным депо относится Пожарно-спасательная часть №6 г. Беслан, расположенная по улице Братьев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Торчиновых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№55.</w:t>
      </w:r>
    </w:p>
    <w:p w14:paraId="13C97743" w14:textId="77777777" w:rsidR="009B369E" w:rsidRDefault="009B369E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2F10DB9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4" w:name="_Toc88723902"/>
      <w:r>
        <w:rPr>
          <w:rFonts w:ascii="Arial Narrow" w:hAnsi="Arial Narrow"/>
        </w:rPr>
        <w:lastRenderedPageBreak/>
        <w:t>Раздел 7. Перечень земельных участков, которые включаются в границы населенных пунктов, входящих в состав поселения или исключаются из его границ, с указанием категорий земель, к которым планируется отнести эти земельные участки, и целей их планируемого использования.</w:t>
      </w:r>
      <w:bookmarkEnd w:id="14"/>
    </w:p>
    <w:p w14:paraId="64A83784" w14:textId="77777777" w:rsidR="009B369E" w:rsidRDefault="006D271D">
      <w:pPr>
        <w:spacing w:line="360" w:lineRule="auto"/>
        <w:ind w:firstLine="709"/>
        <w:contextualSpacing/>
        <w:rPr>
          <w:rFonts w:cs="Times New Roman"/>
        </w:rPr>
      </w:pPr>
      <w:r>
        <w:rPr>
          <w:rFonts w:cs="Times New Roman"/>
        </w:rPr>
        <w:t>В рамках внесения изменений в генеральный план Бесланского городского поселения проводится изменение границ населенного пункта.</w:t>
      </w:r>
    </w:p>
    <w:p w14:paraId="24669D78" w14:textId="77777777" w:rsidR="009B369E" w:rsidRDefault="006D271D">
      <w:pPr>
        <w:spacing w:line="360" w:lineRule="auto"/>
        <w:ind w:firstLine="709"/>
        <w:contextualSpacing/>
        <w:rPr>
          <w:rFonts w:cs="Times New Roman"/>
        </w:rPr>
      </w:pPr>
      <w:r>
        <w:rPr>
          <w:rFonts w:cs="Times New Roman"/>
        </w:rPr>
        <w:t>Перечень земельных участков, которые исключаются и включаются в границы городского поселения, с указанием категорий земель и целей их использования приведен ниже в таблице.</w:t>
      </w:r>
    </w:p>
    <w:p w14:paraId="0FB3C842" w14:textId="77777777" w:rsidR="009B369E" w:rsidRDefault="006D271D">
      <w:pPr>
        <w:spacing w:line="259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F164046" w14:textId="77777777" w:rsidR="009B369E" w:rsidRDefault="009B369E">
      <w:pPr>
        <w:spacing w:line="360" w:lineRule="auto"/>
        <w:ind w:firstLine="709"/>
        <w:rPr>
          <w:rFonts w:cs="Times New Roman"/>
        </w:rPr>
      </w:pPr>
    </w:p>
    <w:tbl>
      <w:tblPr>
        <w:tblW w:w="10065" w:type="dxa"/>
        <w:tblInd w:w="-431" w:type="dxa"/>
        <w:tblLook w:val="04A0" w:firstRow="1" w:lastRow="0" w:firstColumn="1" w:lastColumn="0" w:noHBand="0" w:noVBand="1"/>
      </w:tblPr>
      <w:tblGrid>
        <w:gridCol w:w="725"/>
        <w:gridCol w:w="1883"/>
        <w:gridCol w:w="2394"/>
        <w:gridCol w:w="2803"/>
        <w:gridCol w:w="2419"/>
      </w:tblGrid>
      <w:tr w:rsidR="009B369E" w14:paraId="605693A4" w14:textId="77777777">
        <w:trPr>
          <w:trHeight w:val="27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CB56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8FD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239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56AF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70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73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Исключаемый/включаемый в границы</w:t>
            </w:r>
          </w:p>
        </w:tc>
        <w:tc>
          <w:tcPr>
            <w:tcW w:w="241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139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9B369E" w14:paraId="07A019E5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DE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2C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15:00:0000030:1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A6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062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D0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Автомобильный транспорт </w:t>
            </w:r>
          </w:p>
        </w:tc>
      </w:tr>
      <w:tr w:rsidR="009B369E" w14:paraId="42E7B80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E177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2A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15:03:0000000:1792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F4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3E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AA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</w:tr>
      <w:tr w:rsidR="009B369E" w14:paraId="2C6CED70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BB57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76A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28D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3B6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0DC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линии электропередач ВЛ</w:t>
            </w:r>
          </w:p>
          <w:p w14:paraId="559E13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35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№430</w:t>
            </w:r>
          </w:p>
        </w:tc>
      </w:tr>
      <w:tr w:rsidR="009B369E" w14:paraId="262099C4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A79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5E1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15:03:0000000:2309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6DF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076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D0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2DBB6A45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AF8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624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15:03:0000000:2310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6190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574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38B8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6C7BF016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8AF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005E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461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90C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032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545621A8" w14:textId="77777777">
        <w:trPr>
          <w:trHeight w:val="860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79C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600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9D8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1B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35E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3C948B6E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6071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EE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E034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FFA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5DA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Автомобильный транспорт</w:t>
            </w:r>
          </w:p>
        </w:tc>
      </w:tr>
      <w:tr w:rsidR="009B369E" w14:paraId="353A683A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5DFA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5B6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15:03:0000000:40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F4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F90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81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Автомобильный транспорт</w:t>
            </w:r>
          </w:p>
        </w:tc>
      </w:tr>
      <w:tr w:rsidR="009B369E" w14:paraId="664A4AF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36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D71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15:03:0000000:731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BA0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C5B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93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строительства воздушной линии электропередач ВЛ-6 Кв</w:t>
            </w:r>
          </w:p>
        </w:tc>
      </w:tr>
      <w:tr w:rsidR="009B369E" w14:paraId="1887896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B76C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9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15:03:0000000:735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172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93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641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2C901E2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972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7F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15:03:0000000:939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2EF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75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87B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Животноводство</w:t>
            </w:r>
          </w:p>
        </w:tc>
      </w:tr>
      <w:tr w:rsidR="009B369E" w14:paraId="071ABF8B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66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D15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15:03:0000025:2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6C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C37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00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объекты транспорта Железнодорожного</w:t>
            </w:r>
          </w:p>
        </w:tc>
      </w:tr>
      <w:tr w:rsidR="009B369E" w14:paraId="1EE6169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2EAE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444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15:03:0000025:3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57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0A4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F7B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объекты транспорта Железнодорожного</w:t>
            </w:r>
          </w:p>
        </w:tc>
      </w:tr>
      <w:tr w:rsidR="009B369E" w14:paraId="1371BCFD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8A6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9DE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15:03:0000031:3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BD4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FBB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F6C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Автомобильный транспорт</w:t>
            </w:r>
          </w:p>
        </w:tc>
      </w:tr>
      <w:tr w:rsidR="009B369E" w14:paraId="7C7D545D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BF77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B45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15:03:0000032:1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A60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08A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EDE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Автомобильный транспорт</w:t>
            </w:r>
          </w:p>
        </w:tc>
      </w:tr>
      <w:tr w:rsidR="009B369E" w14:paraId="26751EE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A5C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B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15:03:0010102:139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1C0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57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33E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7662BDC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52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404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15:03:0010102:140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C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02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393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6F03C6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681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E49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15:03:0010102:286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11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6F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3C1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 (газовые хранилища и газоперекачивающие станции)</w:t>
            </w:r>
          </w:p>
        </w:tc>
      </w:tr>
      <w:tr w:rsidR="009B369E" w14:paraId="3F144F7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69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3F5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15:03:0010102:415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16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84B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34F4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</w:t>
            </w:r>
          </w:p>
        </w:tc>
      </w:tr>
      <w:tr w:rsidR="009B369E" w14:paraId="25FED800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9AD2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5CA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15:03:0010102:418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4D7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211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95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04C91C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36A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05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63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13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FD0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 (газовые хранилища и обслуживающие их газоконденсатные и газоперекачивающие станции)</w:t>
            </w:r>
          </w:p>
        </w:tc>
      </w:tr>
      <w:tr w:rsidR="009B369E" w14:paraId="35822CD6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DEA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7989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BBB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D29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ED0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Железнодорожный транспорт (размещение железнодорожный путей)</w:t>
            </w:r>
          </w:p>
        </w:tc>
      </w:tr>
      <w:tr w:rsidR="009B369E" w14:paraId="194266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ECFA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1A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6EB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38D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F3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жилую застройку Индивидуальную</w:t>
            </w:r>
          </w:p>
        </w:tc>
      </w:tr>
      <w:tr w:rsidR="009B369E" w14:paraId="3D8AF6A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E44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AD2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15:03:0010202:178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C7A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14C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CCF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Индивидуальное жилищное строительство</w:t>
            </w:r>
          </w:p>
        </w:tc>
      </w:tr>
      <w:tr w:rsidR="009B369E" w14:paraId="61BC914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32D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8D2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786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A95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13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D4BFF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91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A2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FB5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E2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36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750E53B2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D0C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7D4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5F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560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03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89C704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CDA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7280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774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CE1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C55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строительства жилого дома</w:t>
            </w:r>
          </w:p>
        </w:tc>
      </w:tr>
      <w:tr w:rsidR="009B369E" w14:paraId="2F9BEF1B" w14:textId="77777777">
        <w:trPr>
          <w:trHeight w:val="834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CC1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000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15:03:0010203:1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FD1D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4C9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0F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объекты сельскохозяйственного назначения и предназначенные для ведения сельского хозяйства, объектов сельскохозяйственного назначения</w:t>
            </w:r>
          </w:p>
        </w:tc>
      </w:tr>
      <w:tr w:rsidR="009B369E" w14:paraId="2D71E3C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A3B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8E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15:03:0010208:4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ADB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1E4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20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жилую застройку</w:t>
            </w:r>
          </w:p>
        </w:tc>
      </w:tr>
      <w:tr w:rsidR="009B369E" w14:paraId="5D4EC29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857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F7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15:03:0010510:21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ED1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855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4F7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Индивидуальное жилищное строительство</w:t>
            </w:r>
          </w:p>
        </w:tc>
      </w:tr>
      <w:tr w:rsidR="009B369E" w14:paraId="7721D330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D31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9F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15:03:0010577:8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86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5C2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C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индивидуального жилищного строительства</w:t>
            </w:r>
          </w:p>
        </w:tc>
      </w:tr>
      <w:tr w:rsidR="009B369E" w14:paraId="1D4DA13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FC48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FF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15:03:0010710:51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BEC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0A5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01F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кладбищ</w:t>
            </w:r>
          </w:p>
        </w:tc>
      </w:tr>
      <w:tr w:rsidR="009B369E" w14:paraId="3ADACB1D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D3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01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15:03:0010711:142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A63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6D6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740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Транспорт (размещение автостоянок при зданиях и гаражей служебного и специального автотранспорта)</w:t>
            </w:r>
          </w:p>
        </w:tc>
      </w:tr>
      <w:tr w:rsidR="009B369E" w14:paraId="104759A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EA5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8DB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15:03:0010711:17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0F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7F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E96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Предпринимательство</w:t>
            </w:r>
          </w:p>
        </w:tc>
      </w:tr>
      <w:tr w:rsidR="009B369E" w14:paraId="2EFC7A6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80C1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1B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30C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1B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BCA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</w:tr>
      <w:tr w:rsidR="009B369E" w14:paraId="48DA3BB0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9C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42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F82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36C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944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Объекты придорожного сервиса</w:t>
            </w:r>
          </w:p>
        </w:tc>
      </w:tr>
      <w:tr w:rsidR="009B369E" w14:paraId="61BE3255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A40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941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D1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229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93C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Здравоохранение" (столовая)</w:t>
            </w:r>
          </w:p>
        </w:tc>
      </w:tr>
      <w:tr w:rsidR="009B369E" w14:paraId="3930969A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C1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237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047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40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F67D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эксплуатацию многопрофильного медицинского центра федерального значения</w:t>
            </w:r>
          </w:p>
        </w:tc>
      </w:tr>
      <w:tr w:rsidR="009B369E" w14:paraId="4CACCA5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E5B7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2BE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668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126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A63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Центр социальной помощи семье и детям</w:t>
            </w:r>
          </w:p>
        </w:tc>
      </w:tr>
      <w:tr w:rsidR="009B369E" w14:paraId="0CD1BCD2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8D6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A20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B8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EE7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EC9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объектов физической культуры и спорта</w:t>
            </w:r>
          </w:p>
        </w:tc>
      </w:tr>
      <w:tr w:rsidR="009B369E" w14:paraId="67152164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574D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67E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15:03:0010802:194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44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95C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5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3C7AB63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D7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62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15:03:0010802:57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EA1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BF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7BF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Скотоводство</w:t>
            </w:r>
          </w:p>
        </w:tc>
      </w:tr>
      <w:tr w:rsidR="009B369E" w14:paraId="4F0CE89A" w14:textId="77777777">
        <w:trPr>
          <w:trHeight w:val="834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A0B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4C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15:03:0011103:175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B65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E53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94D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-водочной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продукции,  под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завод по производству шампанского и виноградных вин</w:t>
            </w:r>
          </w:p>
        </w:tc>
      </w:tr>
      <w:tr w:rsidR="009B369E" w14:paraId="7617DD3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436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30A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15:03:0011103:178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7B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D23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B1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</w:tr>
      <w:tr w:rsidR="009B369E" w14:paraId="2F45137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EEA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DCC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15:03:0011103:180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60D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E78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3AA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производственная деятельность, строительная промышленность</w:t>
            </w:r>
          </w:p>
        </w:tc>
      </w:tr>
      <w:tr w:rsidR="009B369E" w14:paraId="6FCC9AE6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FE0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E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15:03:0011103:181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61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C33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6EE3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производственная деятельность, строительная промышленность</w:t>
            </w:r>
          </w:p>
        </w:tc>
      </w:tr>
      <w:tr w:rsidR="009B369E" w14:paraId="6B710D00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663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1EF3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15:03:0011103:52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5F5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22D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29B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574C7329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B4E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5F91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15:03:0011103:63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86C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51B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84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77B1B11D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AC67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D4D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15:03:0011103:64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BC6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1A4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CAE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5C4A83E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B02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A3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15:03:0011501:6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75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60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A39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</w:t>
            </w:r>
          </w:p>
        </w:tc>
      </w:tr>
      <w:tr w:rsidR="009B369E" w14:paraId="46726454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37A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C07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82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BF88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EF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3C5C1F24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D6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2A8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125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8B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062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754C7ADE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38B4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35E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C1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86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15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74F9FEB6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7B8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CA3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B5B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F7A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BB6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эксплуатации существующих АГРС, крановых площадок, свеч и др. газопровода-отвода</w:t>
            </w:r>
          </w:p>
        </w:tc>
      </w:tr>
      <w:tr w:rsidR="009B369E" w14:paraId="07435EC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70F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C6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08E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82F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6A5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6DB7926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E9B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F1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E9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CA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5602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ABA9545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ADE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003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705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EB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1A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0E30D4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D477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C74E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A53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88F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94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bookmarkEnd w:id="0"/>
      <w:bookmarkEnd w:id="1"/>
    </w:tbl>
    <w:p w14:paraId="02603283" w14:textId="77777777" w:rsidR="009B369E" w:rsidRDefault="009B369E">
      <w:pPr>
        <w:spacing w:line="360" w:lineRule="auto"/>
        <w:ind w:firstLine="709"/>
        <w:rPr>
          <w:rFonts w:cs="Times New Roman"/>
          <w:szCs w:val="28"/>
          <w:u w:val="single"/>
        </w:rPr>
      </w:pPr>
    </w:p>
    <w:p w14:paraId="3F7E78FF" w14:textId="77777777" w:rsidR="009B369E" w:rsidRDefault="009B369E">
      <w:pPr>
        <w:spacing w:line="360" w:lineRule="auto"/>
        <w:ind w:firstLine="709"/>
        <w:rPr>
          <w:rFonts w:cs="Times New Roman"/>
        </w:rPr>
      </w:pPr>
    </w:p>
    <w:sectPr w:rsidR="009B369E">
      <w:headerReference w:type="default" r:id="rId15"/>
      <w:pgSz w:w="11906" w:h="16838"/>
      <w:pgMar w:top="1134" w:right="850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4E529" w14:textId="77777777" w:rsidR="009B369E" w:rsidRDefault="006D271D">
      <w:pPr>
        <w:spacing w:after="0"/>
      </w:pPr>
      <w:r>
        <w:separator/>
      </w:r>
    </w:p>
  </w:endnote>
  <w:endnote w:type="continuationSeparator" w:id="0">
    <w:p w14:paraId="5B77642D" w14:textId="77777777" w:rsidR="009B369E" w:rsidRDefault="006D27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58076" w14:textId="77777777" w:rsidR="009B369E" w:rsidRDefault="006D271D">
      <w:pPr>
        <w:spacing w:after="0"/>
      </w:pPr>
      <w:r>
        <w:separator/>
      </w:r>
    </w:p>
  </w:footnote>
  <w:footnote w:type="continuationSeparator" w:id="0">
    <w:p w14:paraId="735435AC" w14:textId="77777777" w:rsidR="009B369E" w:rsidRDefault="006D27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AB7EC" w14:textId="77777777" w:rsidR="009B369E" w:rsidRDefault="006D271D">
    <w:pPr>
      <w:pStyle w:val="af5"/>
      <w:tabs>
        <w:tab w:val="clear" w:pos="4677"/>
        <w:tab w:val="clear" w:pos="9355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7D50E3F" wp14:editId="1390477A">
              <wp:simplePos x="0" y="0"/>
              <wp:positionH relativeFrom="column">
                <wp:posOffset>3320447</wp:posOffset>
              </wp:positionH>
              <wp:positionV relativeFrom="paragraph">
                <wp:posOffset>42545</wp:posOffset>
              </wp:positionV>
              <wp:extent cx="2822575" cy="64770"/>
              <wp:effectExtent l="38100" t="38100" r="53975" b="87630"/>
              <wp:wrapNone/>
              <wp:docPr id="1" name="Рисунок 9" descr="O:\Astan_Ноль\Google_Диск\ТМ\Реклама, печатные материалы и пр\Печатные материалы\эмблема кадастр\полоса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O:\Astan_Ноль\Google_Диск\ТМ\Реклама, печатные материалы и пр\Печатные материалы\эмблема кадастр\полоса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22575" cy="6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rotWithShape="0">
                          <a:prstClr val="black">
                            <a:alpha val="40000"/>
                          </a:prstClr>
                        </a:outerShdw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74624;o:allowoverlap:true;o:allowincell:true;mso-position-horizontal-relative:text;margin-left:261.5pt;mso-position-horizontal:absolute;mso-position-vertical-relative:text;margin-top:3.3pt;mso-position-vertical:absolute;width:222.2pt;height:5.1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112DCD4" wp14:editId="6BAE6BC2">
              <wp:simplePos x="0" y="0"/>
              <wp:positionH relativeFrom="margin">
                <wp:align>left</wp:align>
              </wp:positionH>
              <wp:positionV relativeFrom="paragraph">
                <wp:posOffset>44450</wp:posOffset>
              </wp:positionV>
              <wp:extent cx="2822575" cy="64770"/>
              <wp:effectExtent l="38100" t="38100" r="73025" b="87630"/>
              <wp:wrapNone/>
              <wp:docPr id="2" name="Рисунок 10" descr="O:\Astan_Ноль\Google_Диск\ТМ\Реклама, печатные материалы и пр\Печатные материалы\эмблема кадастр\полоса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O:\Astan_Ноль\Google_Диск\ТМ\Реклама, печатные материалы и пр\Печатные материалы\эмблема кадастр\полоса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22575" cy="6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rotWithShape="0">
                          <a:prstClr val="black">
                            <a:alpha val="40000"/>
                          </a:prstClr>
                        </a:outerShdw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5648;o:allowoverlap:true;o:allowincell:true;mso-position-horizontal-relative:margin;mso-position-horizontal:left;mso-position-vertical-relative:text;margin-top:3.5pt;mso-position-vertical:absolute;width:222.2pt;height:5.1pt;" stroked="f">
              <v:path textboxrect="0,0,0,0"/>
              <v:imagedata r:id="rId2" o:title=""/>
            </v:shape>
          </w:pict>
        </mc:Fallback>
      </mc:AlternateContent>
    </w:r>
    <w:sdt>
      <w:sdtPr>
        <w:id w:val="-1946301844"/>
        <w:docPartObj>
          <w:docPartGallery w:val="Page Numbers (Top of Page)"/>
          <w:docPartUnique/>
        </w:docPartObj>
      </w:sdtPr>
      <w:sdtEndPr/>
      <w:sdtContent>
        <w:r>
          <w:t xml:space="preserve">     </w:t>
        </w:r>
        <w:r>
          <w:rPr>
            <w:rFonts w:ascii="Arial Narrow" w:hAnsi="Arial Narrow"/>
            <w:sz w:val="24"/>
            <w:szCs w:val="24"/>
          </w:rPr>
          <w:fldChar w:fldCharType="begin"/>
        </w:r>
        <w:r>
          <w:rPr>
            <w:rFonts w:ascii="Arial Narrow" w:hAnsi="Arial Narrow"/>
            <w:sz w:val="24"/>
            <w:szCs w:val="24"/>
          </w:rPr>
          <w:instrText>PAGE   \* MERGEFORMAT</w:instrText>
        </w:r>
        <w:r>
          <w:rPr>
            <w:rFonts w:ascii="Arial Narrow" w:hAnsi="Arial Narrow"/>
            <w:sz w:val="24"/>
            <w:szCs w:val="24"/>
          </w:rPr>
          <w:fldChar w:fldCharType="separate"/>
        </w:r>
        <w:r>
          <w:rPr>
            <w:rFonts w:ascii="Arial Narrow" w:hAnsi="Arial Narrow"/>
            <w:sz w:val="24"/>
            <w:szCs w:val="24"/>
          </w:rPr>
          <w:t>2</w:t>
        </w:r>
        <w:r>
          <w:rPr>
            <w:rFonts w:ascii="Arial Narrow" w:hAnsi="Arial Narrow"/>
            <w:sz w:val="24"/>
            <w:szCs w:val="24"/>
          </w:rPr>
          <w:fldChar w:fldCharType="end"/>
        </w:r>
      </w:sdtContent>
    </w:sdt>
  </w:p>
  <w:p w14:paraId="0C2EC370" w14:textId="77777777" w:rsidR="009B369E" w:rsidRDefault="009B369E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3B6"/>
    <w:multiLevelType w:val="hybridMultilevel"/>
    <w:tmpl w:val="D3B443F0"/>
    <w:lvl w:ilvl="0" w:tplc="C4D49DC8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1" w:tplc="8864C68E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F1BEA97E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B0926666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DE62199A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8534BB96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10DABBD4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535A24E4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8962F83C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1" w15:restartNumberingAfterBreak="0">
    <w:nsid w:val="0A144B3C"/>
    <w:multiLevelType w:val="hybridMultilevel"/>
    <w:tmpl w:val="04CE924E"/>
    <w:lvl w:ilvl="0" w:tplc="3FC4C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028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0E807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C6F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409C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A004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5EFD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6C817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0CC2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5A4D6C"/>
    <w:multiLevelType w:val="hybridMultilevel"/>
    <w:tmpl w:val="E3C8F80C"/>
    <w:lvl w:ilvl="0" w:tplc="A3826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06C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51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A11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AEEE6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044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06B4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6ED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AB4B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445DB6"/>
    <w:multiLevelType w:val="hybridMultilevel"/>
    <w:tmpl w:val="93DE474A"/>
    <w:lvl w:ilvl="0" w:tplc="376A6B6C">
      <w:start w:val="1"/>
      <w:numFmt w:val="decimal"/>
      <w:lvlText w:val="%1."/>
      <w:lvlJc w:val="left"/>
      <w:pPr>
        <w:ind w:left="1720" w:hanging="538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ru-RU" w:bidi="ru-RU"/>
      </w:rPr>
    </w:lvl>
    <w:lvl w:ilvl="1" w:tplc="71149C0A">
      <w:start w:val="1"/>
      <w:numFmt w:val="bullet"/>
      <w:lvlText w:val="•"/>
      <w:lvlJc w:val="left"/>
      <w:pPr>
        <w:ind w:left="2560" w:hanging="538"/>
      </w:pPr>
      <w:rPr>
        <w:rFonts w:hint="default"/>
        <w:lang w:val="ru-RU" w:eastAsia="ru-RU" w:bidi="ru-RU"/>
      </w:rPr>
    </w:lvl>
    <w:lvl w:ilvl="2" w:tplc="BD70FA4E">
      <w:start w:val="1"/>
      <w:numFmt w:val="bullet"/>
      <w:lvlText w:val="•"/>
      <w:lvlJc w:val="left"/>
      <w:pPr>
        <w:ind w:left="3401" w:hanging="538"/>
      </w:pPr>
      <w:rPr>
        <w:rFonts w:hint="default"/>
        <w:lang w:val="ru-RU" w:eastAsia="ru-RU" w:bidi="ru-RU"/>
      </w:rPr>
    </w:lvl>
    <w:lvl w:ilvl="3" w:tplc="108C4766">
      <w:start w:val="1"/>
      <w:numFmt w:val="bullet"/>
      <w:lvlText w:val="•"/>
      <w:lvlJc w:val="left"/>
      <w:pPr>
        <w:ind w:left="4241" w:hanging="538"/>
      </w:pPr>
      <w:rPr>
        <w:rFonts w:hint="default"/>
        <w:lang w:val="ru-RU" w:eastAsia="ru-RU" w:bidi="ru-RU"/>
      </w:rPr>
    </w:lvl>
    <w:lvl w:ilvl="4" w:tplc="A0B25690">
      <w:start w:val="1"/>
      <w:numFmt w:val="bullet"/>
      <w:lvlText w:val="•"/>
      <w:lvlJc w:val="left"/>
      <w:pPr>
        <w:ind w:left="5082" w:hanging="538"/>
      </w:pPr>
      <w:rPr>
        <w:rFonts w:hint="default"/>
        <w:lang w:val="ru-RU" w:eastAsia="ru-RU" w:bidi="ru-RU"/>
      </w:rPr>
    </w:lvl>
    <w:lvl w:ilvl="5" w:tplc="2EFA86F2">
      <w:start w:val="1"/>
      <w:numFmt w:val="bullet"/>
      <w:lvlText w:val="•"/>
      <w:lvlJc w:val="left"/>
      <w:pPr>
        <w:ind w:left="5923" w:hanging="538"/>
      </w:pPr>
      <w:rPr>
        <w:rFonts w:hint="default"/>
        <w:lang w:val="ru-RU" w:eastAsia="ru-RU" w:bidi="ru-RU"/>
      </w:rPr>
    </w:lvl>
    <w:lvl w:ilvl="6" w:tplc="5B0063E6">
      <w:start w:val="1"/>
      <w:numFmt w:val="bullet"/>
      <w:lvlText w:val="•"/>
      <w:lvlJc w:val="left"/>
      <w:pPr>
        <w:ind w:left="6763" w:hanging="538"/>
      </w:pPr>
      <w:rPr>
        <w:rFonts w:hint="default"/>
        <w:lang w:val="ru-RU" w:eastAsia="ru-RU" w:bidi="ru-RU"/>
      </w:rPr>
    </w:lvl>
    <w:lvl w:ilvl="7" w:tplc="00AE8FD2">
      <w:start w:val="1"/>
      <w:numFmt w:val="bullet"/>
      <w:lvlText w:val="•"/>
      <w:lvlJc w:val="left"/>
      <w:pPr>
        <w:ind w:left="7604" w:hanging="538"/>
      </w:pPr>
      <w:rPr>
        <w:rFonts w:hint="default"/>
        <w:lang w:val="ru-RU" w:eastAsia="ru-RU" w:bidi="ru-RU"/>
      </w:rPr>
    </w:lvl>
    <w:lvl w:ilvl="8" w:tplc="0D048F00">
      <w:start w:val="1"/>
      <w:numFmt w:val="bullet"/>
      <w:lvlText w:val="•"/>
      <w:lvlJc w:val="left"/>
      <w:pPr>
        <w:ind w:left="8445" w:hanging="538"/>
      </w:pPr>
      <w:rPr>
        <w:rFonts w:hint="default"/>
        <w:lang w:val="ru-RU" w:eastAsia="ru-RU" w:bidi="ru-RU"/>
      </w:rPr>
    </w:lvl>
  </w:abstractNum>
  <w:abstractNum w:abstractNumId="4" w15:restartNumberingAfterBreak="0">
    <w:nsid w:val="1AAB4610"/>
    <w:multiLevelType w:val="hybridMultilevel"/>
    <w:tmpl w:val="4A202768"/>
    <w:lvl w:ilvl="0" w:tplc="0C64A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2490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A0C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56E5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E642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ECE5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9A40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F6FFC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7E740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A61711"/>
    <w:multiLevelType w:val="hybridMultilevel"/>
    <w:tmpl w:val="58529A7C"/>
    <w:lvl w:ilvl="0" w:tplc="288AA4FC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1" w:tplc="C1C889E6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D452FE8E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3B709940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9866EBB4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0AC8F8D4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713CA9A8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2D1CE556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923A6830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6" w15:restartNumberingAfterBreak="0">
    <w:nsid w:val="23911983"/>
    <w:multiLevelType w:val="hybridMultilevel"/>
    <w:tmpl w:val="E344502A"/>
    <w:lvl w:ilvl="0" w:tplc="F24AAEE6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42E4849C">
      <w:start w:val="1"/>
      <w:numFmt w:val="lowerLetter"/>
      <w:lvlText w:val="%2."/>
      <w:lvlJc w:val="left"/>
      <w:pPr>
        <w:ind w:left="1360" w:hanging="360"/>
      </w:pPr>
    </w:lvl>
    <w:lvl w:ilvl="2" w:tplc="EDE878DA">
      <w:start w:val="1"/>
      <w:numFmt w:val="lowerRoman"/>
      <w:lvlText w:val="%3."/>
      <w:lvlJc w:val="right"/>
      <w:pPr>
        <w:ind w:left="2080" w:hanging="180"/>
      </w:pPr>
    </w:lvl>
    <w:lvl w:ilvl="3" w:tplc="E6A87B42">
      <w:start w:val="1"/>
      <w:numFmt w:val="decimal"/>
      <w:lvlText w:val="%4."/>
      <w:lvlJc w:val="left"/>
      <w:pPr>
        <w:ind w:left="2800" w:hanging="360"/>
      </w:pPr>
    </w:lvl>
    <w:lvl w:ilvl="4" w:tplc="1792B54C">
      <w:start w:val="1"/>
      <w:numFmt w:val="lowerLetter"/>
      <w:lvlText w:val="%5."/>
      <w:lvlJc w:val="left"/>
      <w:pPr>
        <w:ind w:left="3520" w:hanging="360"/>
      </w:pPr>
    </w:lvl>
    <w:lvl w:ilvl="5" w:tplc="CFDCD002">
      <w:start w:val="1"/>
      <w:numFmt w:val="lowerRoman"/>
      <w:lvlText w:val="%6."/>
      <w:lvlJc w:val="right"/>
      <w:pPr>
        <w:ind w:left="4240" w:hanging="180"/>
      </w:pPr>
    </w:lvl>
    <w:lvl w:ilvl="6" w:tplc="64A229CC">
      <w:start w:val="1"/>
      <w:numFmt w:val="decimal"/>
      <w:lvlText w:val="%7."/>
      <w:lvlJc w:val="left"/>
      <w:pPr>
        <w:ind w:left="4960" w:hanging="360"/>
      </w:pPr>
    </w:lvl>
    <w:lvl w:ilvl="7" w:tplc="E43C532E">
      <w:start w:val="1"/>
      <w:numFmt w:val="lowerLetter"/>
      <w:lvlText w:val="%8."/>
      <w:lvlJc w:val="left"/>
      <w:pPr>
        <w:ind w:left="5680" w:hanging="360"/>
      </w:pPr>
    </w:lvl>
    <w:lvl w:ilvl="8" w:tplc="66F89190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274006B3"/>
    <w:multiLevelType w:val="hybridMultilevel"/>
    <w:tmpl w:val="801A06A4"/>
    <w:lvl w:ilvl="0" w:tplc="289C5D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7C57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E6A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0E8C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8273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6252D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065C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26E69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5818F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82C5099"/>
    <w:multiLevelType w:val="hybridMultilevel"/>
    <w:tmpl w:val="9604A21C"/>
    <w:lvl w:ilvl="0" w:tplc="9A80B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2D5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C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C0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6F2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821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742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272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01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613CA"/>
    <w:multiLevelType w:val="hybridMultilevel"/>
    <w:tmpl w:val="E514C1C6"/>
    <w:lvl w:ilvl="0" w:tplc="77B86410">
      <w:start w:val="1"/>
      <w:numFmt w:val="decimal"/>
      <w:lvlText w:val="%1."/>
      <w:lvlJc w:val="left"/>
      <w:pPr>
        <w:ind w:left="169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51B88BA8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17C8CDC0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CEDEBA46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BE0C429C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E53A9ECA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4724B8B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35EE6EA2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B150D7B4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10" w15:restartNumberingAfterBreak="0">
    <w:nsid w:val="2DDB6AE5"/>
    <w:multiLevelType w:val="hybridMultilevel"/>
    <w:tmpl w:val="31DE8668"/>
    <w:lvl w:ilvl="0" w:tplc="D40ECE12">
      <w:start w:val="1"/>
      <w:numFmt w:val="bullet"/>
      <w:lvlText w:val="–"/>
      <w:lvlJc w:val="left"/>
      <w:pPr>
        <w:ind w:left="1429" w:hanging="360"/>
      </w:pPr>
      <w:rPr>
        <w:rFonts w:ascii="Arial Narrow" w:eastAsia="Arial Narrow" w:hAnsi="Arial Narrow" w:cs="Arial Narrow" w:hint="default"/>
        <w:sz w:val="24"/>
        <w:szCs w:val="24"/>
        <w:lang w:val="ru-RU" w:eastAsia="ru-RU" w:bidi="ru-RU"/>
      </w:rPr>
    </w:lvl>
    <w:lvl w:ilvl="1" w:tplc="347032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836605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DD0DF4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CE131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160DF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081D1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A54166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6344A4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2D1F06"/>
    <w:multiLevelType w:val="hybridMultilevel"/>
    <w:tmpl w:val="BEA06F62"/>
    <w:lvl w:ilvl="0" w:tplc="7BF26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C8F5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3661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8D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6220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12C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4A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43A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862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F718C"/>
    <w:multiLevelType w:val="hybridMultilevel"/>
    <w:tmpl w:val="CF769A06"/>
    <w:lvl w:ilvl="0" w:tplc="75FE31AE">
      <w:start w:val="1"/>
      <w:numFmt w:val="decimal"/>
      <w:lvlText w:val="%1."/>
      <w:lvlJc w:val="left"/>
      <w:pPr>
        <w:ind w:left="165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63B0C6E0">
      <w:start w:val="1"/>
      <w:numFmt w:val="bullet"/>
      <w:lvlText w:val="•"/>
      <w:lvlJc w:val="left"/>
      <w:pPr>
        <w:ind w:left="1660" w:hanging="567"/>
      </w:pPr>
      <w:rPr>
        <w:rFonts w:hint="default"/>
        <w:lang w:val="ru-RU" w:eastAsia="ru-RU" w:bidi="ru-RU"/>
      </w:rPr>
    </w:lvl>
    <w:lvl w:ilvl="2" w:tplc="0FF0B61C">
      <w:start w:val="1"/>
      <w:numFmt w:val="bullet"/>
      <w:lvlText w:val="•"/>
      <w:lvlJc w:val="left"/>
      <w:pPr>
        <w:ind w:left="2609" w:hanging="567"/>
      </w:pPr>
      <w:rPr>
        <w:rFonts w:hint="default"/>
        <w:lang w:val="ru-RU" w:eastAsia="ru-RU" w:bidi="ru-RU"/>
      </w:rPr>
    </w:lvl>
    <w:lvl w:ilvl="3" w:tplc="087864CE">
      <w:start w:val="1"/>
      <w:numFmt w:val="bullet"/>
      <w:lvlText w:val="•"/>
      <w:lvlJc w:val="left"/>
      <w:pPr>
        <w:ind w:left="3558" w:hanging="567"/>
      </w:pPr>
      <w:rPr>
        <w:rFonts w:hint="default"/>
        <w:lang w:val="ru-RU" w:eastAsia="ru-RU" w:bidi="ru-RU"/>
      </w:rPr>
    </w:lvl>
    <w:lvl w:ilvl="4" w:tplc="A9164336">
      <w:start w:val="1"/>
      <w:numFmt w:val="bullet"/>
      <w:lvlText w:val="•"/>
      <w:lvlJc w:val="left"/>
      <w:pPr>
        <w:ind w:left="4508" w:hanging="567"/>
      </w:pPr>
      <w:rPr>
        <w:rFonts w:hint="default"/>
        <w:lang w:val="ru-RU" w:eastAsia="ru-RU" w:bidi="ru-RU"/>
      </w:rPr>
    </w:lvl>
    <w:lvl w:ilvl="5" w:tplc="DFA2F8E8">
      <w:start w:val="1"/>
      <w:numFmt w:val="bullet"/>
      <w:lvlText w:val="•"/>
      <w:lvlJc w:val="left"/>
      <w:pPr>
        <w:ind w:left="5457" w:hanging="567"/>
      </w:pPr>
      <w:rPr>
        <w:rFonts w:hint="default"/>
        <w:lang w:val="ru-RU" w:eastAsia="ru-RU" w:bidi="ru-RU"/>
      </w:rPr>
    </w:lvl>
    <w:lvl w:ilvl="6" w:tplc="750E0C54">
      <w:start w:val="1"/>
      <w:numFmt w:val="bullet"/>
      <w:lvlText w:val="•"/>
      <w:lvlJc w:val="left"/>
      <w:pPr>
        <w:ind w:left="6406" w:hanging="567"/>
      </w:pPr>
      <w:rPr>
        <w:rFonts w:hint="default"/>
        <w:lang w:val="ru-RU" w:eastAsia="ru-RU" w:bidi="ru-RU"/>
      </w:rPr>
    </w:lvl>
    <w:lvl w:ilvl="7" w:tplc="5D807758">
      <w:start w:val="1"/>
      <w:numFmt w:val="bullet"/>
      <w:lvlText w:val="•"/>
      <w:lvlJc w:val="left"/>
      <w:pPr>
        <w:ind w:left="7356" w:hanging="567"/>
      </w:pPr>
      <w:rPr>
        <w:rFonts w:hint="default"/>
        <w:lang w:val="ru-RU" w:eastAsia="ru-RU" w:bidi="ru-RU"/>
      </w:rPr>
    </w:lvl>
    <w:lvl w:ilvl="8" w:tplc="CC8A4A46">
      <w:start w:val="1"/>
      <w:numFmt w:val="bullet"/>
      <w:lvlText w:val="•"/>
      <w:lvlJc w:val="left"/>
      <w:pPr>
        <w:ind w:left="8305" w:hanging="567"/>
      </w:pPr>
      <w:rPr>
        <w:rFonts w:hint="default"/>
        <w:lang w:val="ru-RU" w:eastAsia="ru-RU" w:bidi="ru-RU"/>
      </w:rPr>
    </w:lvl>
  </w:abstractNum>
  <w:abstractNum w:abstractNumId="13" w15:restartNumberingAfterBreak="0">
    <w:nsid w:val="32577D96"/>
    <w:multiLevelType w:val="hybridMultilevel"/>
    <w:tmpl w:val="6338B48C"/>
    <w:lvl w:ilvl="0" w:tplc="CF5EEACC">
      <w:start w:val="1"/>
      <w:numFmt w:val="bullet"/>
      <w:lvlText w:val="-"/>
      <w:lvlJc w:val="left"/>
      <w:pPr>
        <w:ind w:left="165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2C369E9E">
      <w:start w:val="1"/>
      <w:numFmt w:val="bullet"/>
      <w:lvlText w:val="•"/>
      <w:lvlJc w:val="left"/>
      <w:pPr>
        <w:ind w:left="2514" w:hanging="567"/>
      </w:pPr>
      <w:rPr>
        <w:rFonts w:hint="default"/>
        <w:lang w:val="ru-RU" w:eastAsia="ru-RU" w:bidi="ru-RU"/>
      </w:rPr>
    </w:lvl>
    <w:lvl w:ilvl="2" w:tplc="A50059FE">
      <w:start w:val="1"/>
      <w:numFmt w:val="bullet"/>
      <w:lvlText w:val="•"/>
      <w:lvlJc w:val="left"/>
      <w:pPr>
        <w:ind w:left="3368" w:hanging="567"/>
      </w:pPr>
      <w:rPr>
        <w:rFonts w:hint="default"/>
        <w:lang w:val="ru-RU" w:eastAsia="ru-RU" w:bidi="ru-RU"/>
      </w:rPr>
    </w:lvl>
    <w:lvl w:ilvl="3" w:tplc="D3D2C55A">
      <w:start w:val="1"/>
      <w:numFmt w:val="bullet"/>
      <w:lvlText w:val="•"/>
      <w:lvlJc w:val="left"/>
      <w:pPr>
        <w:ind w:left="4223" w:hanging="567"/>
      </w:pPr>
      <w:rPr>
        <w:rFonts w:hint="default"/>
        <w:lang w:val="ru-RU" w:eastAsia="ru-RU" w:bidi="ru-RU"/>
      </w:rPr>
    </w:lvl>
    <w:lvl w:ilvl="4" w:tplc="C29A38C2">
      <w:start w:val="1"/>
      <w:numFmt w:val="bullet"/>
      <w:lvlText w:val="•"/>
      <w:lvlJc w:val="left"/>
      <w:pPr>
        <w:ind w:left="5077" w:hanging="567"/>
      </w:pPr>
      <w:rPr>
        <w:rFonts w:hint="default"/>
        <w:lang w:val="ru-RU" w:eastAsia="ru-RU" w:bidi="ru-RU"/>
      </w:rPr>
    </w:lvl>
    <w:lvl w:ilvl="5" w:tplc="EBF0DACE">
      <w:start w:val="1"/>
      <w:numFmt w:val="bullet"/>
      <w:lvlText w:val="•"/>
      <w:lvlJc w:val="left"/>
      <w:pPr>
        <w:ind w:left="5932" w:hanging="567"/>
      </w:pPr>
      <w:rPr>
        <w:rFonts w:hint="default"/>
        <w:lang w:val="ru-RU" w:eastAsia="ru-RU" w:bidi="ru-RU"/>
      </w:rPr>
    </w:lvl>
    <w:lvl w:ilvl="6" w:tplc="A86CA084">
      <w:start w:val="1"/>
      <w:numFmt w:val="bullet"/>
      <w:lvlText w:val="•"/>
      <w:lvlJc w:val="left"/>
      <w:pPr>
        <w:ind w:left="6786" w:hanging="567"/>
      </w:pPr>
      <w:rPr>
        <w:rFonts w:hint="default"/>
        <w:lang w:val="ru-RU" w:eastAsia="ru-RU" w:bidi="ru-RU"/>
      </w:rPr>
    </w:lvl>
    <w:lvl w:ilvl="7" w:tplc="9086111C">
      <w:start w:val="1"/>
      <w:numFmt w:val="bullet"/>
      <w:lvlText w:val="•"/>
      <w:lvlJc w:val="left"/>
      <w:pPr>
        <w:ind w:left="7640" w:hanging="567"/>
      </w:pPr>
      <w:rPr>
        <w:rFonts w:hint="default"/>
        <w:lang w:val="ru-RU" w:eastAsia="ru-RU" w:bidi="ru-RU"/>
      </w:rPr>
    </w:lvl>
    <w:lvl w:ilvl="8" w:tplc="D212AB16">
      <w:start w:val="1"/>
      <w:numFmt w:val="bullet"/>
      <w:lvlText w:val="•"/>
      <w:lvlJc w:val="left"/>
      <w:pPr>
        <w:ind w:left="8495" w:hanging="567"/>
      </w:pPr>
      <w:rPr>
        <w:rFonts w:hint="default"/>
        <w:lang w:val="ru-RU" w:eastAsia="ru-RU" w:bidi="ru-RU"/>
      </w:rPr>
    </w:lvl>
  </w:abstractNum>
  <w:abstractNum w:abstractNumId="14" w15:restartNumberingAfterBreak="0">
    <w:nsid w:val="34AD1128"/>
    <w:multiLevelType w:val="hybridMultilevel"/>
    <w:tmpl w:val="C4DCC706"/>
    <w:lvl w:ilvl="0" w:tplc="A81EF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CD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A275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69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2C0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620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AF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0CB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98C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D6824"/>
    <w:multiLevelType w:val="hybridMultilevel"/>
    <w:tmpl w:val="D45ED870"/>
    <w:lvl w:ilvl="0" w:tplc="DC345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BC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EE497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0C0D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C4F7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2A3F2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ECF8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6A9AC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52D0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DCF008A"/>
    <w:multiLevelType w:val="hybridMultilevel"/>
    <w:tmpl w:val="A1BAEB3E"/>
    <w:lvl w:ilvl="0" w:tplc="3138949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F20A254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EA8547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0CEBC6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B18167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74EFD7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FF0B53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208699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21CB63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00651F"/>
    <w:multiLevelType w:val="hybridMultilevel"/>
    <w:tmpl w:val="3CDE7D28"/>
    <w:lvl w:ilvl="0" w:tplc="ED906862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14649242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977CD7BC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BE2E9E7C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9766A330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D978749E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6DB66684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391C44F0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39495EA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4BC048E4"/>
    <w:multiLevelType w:val="hybridMultilevel"/>
    <w:tmpl w:val="3742366E"/>
    <w:lvl w:ilvl="0" w:tplc="8A021104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471C57E8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D7C43A94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AD1A6FA8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E0D284C8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8B2CB8F0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65E44794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8CC04852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BEAE8C6C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9" w15:restartNumberingAfterBreak="0">
    <w:nsid w:val="4C297BE4"/>
    <w:multiLevelType w:val="hybridMultilevel"/>
    <w:tmpl w:val="6916C85E"/>
    <w:lvl w:ilvl="0" w:tplc="6E72A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814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62C3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E34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EDB1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602F5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F0AF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4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CEB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E525E91"/>
    <w:multiLevelType w:val="hybridMultilevel"/>
    <w:tmpl w:val="4E3826BE"/>
    <w:lvl w:ilvl="0" w:tplc="D2746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03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ACF0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308A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4235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0C82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44C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CD2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9A799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0934D73"/>
    <w:multiLevelType w:val="hybridMultilevel"/>
    <w:tmpl w:val="FDB6C684"/>
    <w:lvl w:ilvl="0" w:tplc="58B8E7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0D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C7CC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ECA5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CB07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0A61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FA1A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DAB24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2872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45F7D6E"/>
    <w:multiLevelType w:val="hybridMultilevel"/>
    <w:tmpl w:val="53D2034C"/>
    <w:lvl w:ilvl="0" w:tplc="D1A64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EE7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72E4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C4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F00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6A8B1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205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043B5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B6286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E105457"/>
    <w:multiLevelType w:val="hybridMultilevel"/>
    <w:tmpl w:val="CF742A32"/>
    <w:lvl w:ilvl="0" w:tplc="2A8A6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47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A2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744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884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B65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2EF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2CD8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BC5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34E08"/>
    <w:multiLevelType w:val="hybridMultilevel"/>
    <w:tmpl w:val="98187F14"/>
    <w:lvl w:ilvl="0" w:tplc="9340A11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2D213F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4EC37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218147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972CDBF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21E1D2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AAEE93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A661DD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C587CC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FB26DFD"/>
    <w:multiLevelType w:val="hybridMultilevel"/>
    <w:tmpl w:val="BEDE0196"/>
    <w:lvl w:ilvl="0" w:tplc="41EC5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2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E3A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23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E94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4AB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361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6A3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C26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E545D"/>
    <w:multiLevelType w:val="hybridMultilevel"/>
    <w:tmpl w:val="51CC7E70"/>
    <w:lvl w:ilvl="0" w:tplc="1B142DFE">
      <w:start w:val="1"/>
      <w:numFmt w:val="bullet"/>
      <w:lvlText w:val="–"/>
      <w:lvlJc w:val="left"/>
      <w:pPr>
        <w:ind w:left="1429" w:hanging="360"/>
      </w:pPr>
      <w:rPr>
        <w:rFonts w:ascii="Arial Narrow" w:eastAsia="Arial Narrow" w:hAnsi="Arial Narrow" w:cs="Arial Narrow" w:hint="default"/>
        <w:sz w:val="24"/>
        <w:szCs w:val="24"/>
        <w:lang w:val="ru-RU" w:eastAsia="ru-RU" w:bidi="ru-RU"/>
      </w:rPr>
    </w:lvl>
    <w:lvl w:ilvl="1" w:tplc="DD5E079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D14C52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10EF12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924234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FE6C0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BAEB61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0725FF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8CEE04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5D601E9"/>
    <w:multiLevelType w:val="hybridMultilevel"/>
    <w:tmpl w:val="F5464310"/>
    <w:lvl w:ilvl="0" w:tplc="2ED89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D64C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64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D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016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D29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CD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C71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AC8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430E2"/>
    <w:multiLevelType w:val="hybridMultilevel"/>
    <w:tmpl w:val="3A647A42"/>
    <w:lvl w:ilvl="0" w:tplc="AC9EB04C">
      <w:start w:val="1"/>
      <w:numFmt w:val="decimal"/>
      <w:lvlText w:val="%1."/>
      <w:lvlJc w:val="left"/>
      <w:pPr>
        <w:tabs>
          <w:tab w:val="num" w:pos="1695"/>
        </w:tabs>
        <w:ind w:left="1698" w:hanging="567"/>
      </w:pPr>
      <w:rPr>
        <w:rFonts w:ascii="Times New Roman" w:eastAsiaTheme="minorHAnsi" w:hAnsi="Times New Roman" w:cstheme="minorBidi" w:hint="default"/>
        <w:b/>
        <w:bCs/>
        <w:i/>
        <w:sz w:val="26"/>
        <w:szCs w:val="26"/>
        <w:lang w:val="ru-RU" w:eastAsia="ru-RU" w:bidi="ru-RU"/>
      </w:rPr>
    </w:lvl>
    <w:lvl w:ilvl="1" w:tplc="D458D890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946A50F0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8FBC8A2C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1FD0B34C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17DE0716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466E661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3692DDD8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50D6717C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29" w15:restartNumberingAfterBreak="0">
    <w:nsid w:val="6ABF6308"/>
    <w:multiLevelType w:val="hybridMultilevel"/>
    <w:tmpl w:val="EB641E4C"/>
    <w:lvl w:ilvl="0" w:tplc="D234B17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CD2C9AD8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EE90C6DE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B127084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E9D66A08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30CFCD4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CB66E9E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33833C0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8C033FC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CF53877"/>
    <w:multiLevelType w:val="hybridMultilevel"/>
    <w:tmpl w:val="F446DCEC"/>
    <w:lvl w:ilvl="0" w:tplc="04DA83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C67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007A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86C0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A91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9AC5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0D8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63DF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602D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6462281"/>
    <w:multiLevelType w:val="hybridMultilevel"/>
    <w:tmpl w:val="D6AAEBD8"/>
    <w:lvl w:ilvl="0" w:tplc="84785210">
      <w:start w:val="1"/>
      <w:numFmt w:val="decimal"/>
      <w:lvlText w:val="%1."/>
      <w:lvlJc w:val="left"/>
      <w:pPr>
        <w:ind w:left="169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B8C25F9E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CF3EFC86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6ABE592C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8014075E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1A104C48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DF38E91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03122CA8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A550787A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32" w15:restartNumberingAfterBreak="0">
    <w:nsid w:val="7A141588"/>
    <w:multiLevelType w:val="hybridMultilevel"/>
    <w:tmpl w:val="690A4236"/>
    <w:lvl w:ilvl="0" w:tplc="A8462F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5679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6D91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A8D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5A50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94CB7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B2F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CB16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0D6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25"/>
  </w:num>
  <w:num w:numId="5">
    <w:abstractNumId w:val="17"/>
  </w:num>
  <w:num w:numId="6">
    <w:abstractNumId w:val="8"/>
  </w:num>
  <w:num w:numId="7">
    <w:abstractNumId w:val="13"/>
  </w:num>
  <w:num w:numId="8">
    <w:abstractNumId w:val="23"/>
  </w:num>
  <w:num w:numId="9">
    <w:abstractNumId w:val="11"/>
  </w:num>
  <w:num w:numId="10">
    <w:abstractNumId w:val="20"/>
  </w:num>
  <w:num w:numId="11">
    <w:abstractNumId w:val="0"/>
  </w:num>
  <w:num w:numId="12">
    <w:abstractNumId w:val="5"/>
  </w:num>
  <w:num w:numId="13">
    <w:abstractNumId w:val="24"/>
  </w:num>
  <w:num w:numId="14">
    <w:abstractNumId w:val="16"/>
  </w:num>
  <w:num w:numId="15">
    <w:abstractNumId w:val="29"/>
  </w:num>
  <w:num w:numId="16">
    <w:abstractNumId w:val="27"/>
  </w:num>
  <w:num w:numId="17">
    <w:abstractNumId w:val="30"/>
  </w:num>
  <w:num w:numId="18">
    <w:abstractNumId w:val="1"/>
  </w:num>
  <w:num w:numId="19">
    <w:abstractNumId w:val="2"/>
  </w:num>
  <w:num w:numId="20">
    <w:abstractNumId w:val="22"/>
  </w:num>
  <w:num w:numId="21">
    <w:abstractNumId w:val="21"/>
  </w:num>
  <w:num w:numId="22">
    <w:abstractNumId w:val="15"/>
  </w:num>
  <w:num w:numId="23">
    <w:abstractNumId w:val="4"/>
  </w:num>
  <w:num w:numId="24">
    <w:abstractNumId w:val="32"/>
  </w:num>
  <w:num w:numId="25">
    <w:abstractNumId w:val="9"/>
  </w:num>
  <w:num w:numId="26">
    <w:abstractNumId w:val="3"/>
  </w:num>
  <w:num w:numId="27">
    <w:abstractNumId w:val="28"/>
  </w:num>
  <w:num w:numId="28">
    <w:abstractNumId w:val="14"/>
  </w:num>
  <w:num w:numId="29">
    <w:abstractNumId w:val="31"/>
  </w:num>
  <w:num w:numId="30">
    <w:abstractNumId w:val="18"/>
  </w:num>
  <w:num w:numId="31">
    <w:abstractNumId w:val="6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69E"/>
    <w:rsid w:val="004C73D8"/>
    <w:rsid w:val="006D271D"/>
    <w:rsid w:val="007130F0"/>
    <w:rsid w:val="009B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29945"/>
  <w15:docId w15:val="{5313C4B9-B448-417B-9BA0-C80C3359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">
    <w:name w:val="Table Grid"/>
    <w:basedOn w:val="a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0">
    <w:name w:val="текст"/>
    <w:basedOn w:val="a"/>
    <w:link w:val="af1"/>
    <w:qFormat/>
    <w:pPr>
      <w:spacing w:after="240" w:line="360" w:lineRule="auto"/>
      <w:ind w:left="1418" w:firstLine="720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f1">
    <w:name w:val="текст Знак"/>
    <w:link w:val="af0"/>
    <w:rPr>
      <w:rFonts w:ascii="Arial" w:eastAsia="Times New Roman" w:hAnsi="Arial" w:cs="Arial"/>
      <w:sz w:val="24"/>
      <w:szCs w:val="28"/>
      <w:lang w:eastAsia="ru-RU"/>
    </w:rPr>
  </w:style>
  <w:style w:type="paragraph" w:styleId="af2">
    <w:name w:val="List Paragraph"/>
    <w:basedOn w:val="a"/>
    <w:uiPriority w:val="1"/>
    <w:qFormat/>
    <w:pPr>
      <w:ind w:left="720"/>
      <w:contextualSpacing/>
    </w:pPr>
  </w:style>
  <w:style w:type="table" w:customStyle="1" w:styleId="12">
    <w:name w:val="Сетка таблицы1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TOC Heading"/>
    <w:basedOn w:val="1"/>
    <w:next w:val="a"/>
    <w:uiPriority w:val="39"/>
    <w:unhideWhenUsed/>
    <w:qFormat/>
    <w:pPr>
      <w:spacing w:line="259" w:lineRule="auto"/>
      <w:jc w:val="left"/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pPr>
      <w:spacing w:after="100"/>
    </w:pPr>
  </w:style>
  <w:style w:type="paragraph" w:styleId="25">
    <w:name w:val="toc 2"/>
    <w:basedOn w:val="a"/>
    <w:next w:val="a"/>
    <w:uiPriority w:val="39"/>
    <w:unhideWhenUsed/>
    <w:pPr>
      <w:spacing w:after="100"/>
      <w:ind w:left="280"/>
    </w:p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hAnsi="Times New Roman"/>
      <w:sz w:val="28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hAnsi="Times New Roman"/>
      <w:sz w:val="28"/>
    </w:rPr>
  </w:style>
  <w:style w:type="paragraph" w:styleId="33">
    <w:name w:val="toc 3"/>
    <w:basedOn w:val="a"/>
    <w:next w:val="a"/>
    <w:uiPriority w:val="39"/>
    <w:unhideWhenUsed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  <w:jc w:val="left"/>
    </w:pPr>
    <w:rPr>
      <w:rFonts w:eastAsia="Times New Roman" w:cs="Times New Roman"/>
      <w:sz w:val="22"/>
      <w:lang w:eastAsia="ru-RU" w:bidi="ru-RU"/>
    </w:rPr>
  </w:style>
  <w:style w:type="paragraph" w:styleId="af9">
    <w:name w:val="Body Text"/>
    <w:basedOn w:val="a"/>
    <w:link w:val="afa"/>
    <w:uiPriority w:val="1"/>
    <w:qFormat/>
    <w:pPr>
      <w:widowControl w:val="0"/>
      <w:spacing w:after="0"/>
      <w:jc w:val="left"/>
    </w:pPr>
    <w:rPr>
      <w:rFonts w:ascii="Arial Narrow" w:eastAsia="Arial Narrow" w:hAnsi="Arial Narrow" w:cs="Arial Narrow"/>
      <w:sz w:val="24"/>
      <w:szCs w:val="24"/>
      <w:lang w:eastAsia="ru-RU" w:bidi="ru-RU"/>
    </w:rPr>
  </w:style>
  <w:style w:type="character" w:customStyle="1" w:styleId="afa">
    <w:name w:val="Основной текст Знак"/>
    <w:basedOn w:val="a0"/>
    <w:link w:val="af9"/>
    <w:uiPriority w:val="1"/>
    <w:rPr>
      <w:rFonts w:ascii="Arial Narrow" w:eastAsia="Arial Narrow" w:hAnsi="Arial Narrow" w:cs="Arial Narrow"/>
      <w:sz w:val="24"/>
      <w:szCs w:val="24"/>
      <w:lang w:eastAsia="ru-RU" w:bidi="ru-RU"/>
    </w:rPr>
  </w:style>
  <w:style w:type="paragraph" w:customStyle="1" w:styleId="0013">
    <w:name w:val="00 13 жирным без абзаца"/>
    <w:basedOn w:val="a"/>
    <w:qFormat/>
    <w:pPr>
      <w:spacing w:after="0" w:line="276" w:lineRule="auto"/>
    </w:pPr>
    <w:rPr>
      <w:rFonts w:eastAsia="Times New Roman" w:cs="Times New Roman"/>
      <w:b/>
      <w:sz w:val="26"/>
      <w:szCs w:val="26"/>
      <w:shd w:val="clear" w:color="auto" w:fill="FFFFFF"/>
    </w:rPr>
  </w:style>
  <w:style w:type="character" w:styleId="afb">
    <w:name w:val="footnote reference"/>
    <w:rPr>
      <w:vertAlign w:val="superscript"/>
    </w:rPr>
  </w:style>
  <w:style w:type="paragraph" w:styleId="afc">
    <w:name w:val="footnote text"/>
    <w:basedOn w:val="a"/>
    <w:link w:val="afd"/>
    <w:uiPriority w:val="99"/>
    <w:semiHidden/>
    <w:unhideWhenUsed/>
    <w:pPr>
      <w:spacing w:after="0"/>
      <w:ind w:firstLine="567"/>
    </w:pPr>
    <w:rPr>
      <w:rFonts w:ascii="Arial Narrow" w:eastAsia="Times New Roman" w:hAnsi="Arial Narrow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semiHidden/>
    <w:rPr>
      <w:rFonts w:ascii="Arial Narrow" w:eastAsia="Times New Roman" w:hAnsi="Arial Narrow" w:cs="Times New Roman"/>
      <w:sz w:val="20"/>
      <w:szCs w:val="20"/>
      <w:lang w:eastAsia="ru-RU"/>
    </w:rPr>
  </w:style>
  <w:style w:type="paragraph" w:styleId="afe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14">
    <w:name w:val="Знак1"/>
    <w:basedOn w:val="a"/>
    <w:pPr>
      <w:spacing w:before="100" w:beforeAutospacing="1" w:after="100" w:afterAutospacing="1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customStyle="1" w:styleId="00">
    <w:name w:val="00 Основной текст"/>
    <w:basedOn w:val="a"/>
    <w:qFormat/>
    <w:pPr>
      <w:spacing w:after="0" w:line="319" w:lineRule="auto"/>
      <w:ind w:firstLine="709"/>
    </w:pPr>
    <w:rPr>
      <w:rFonts w:eastAsia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4A7D883A98836B98089D516F2AB26E75518A9C6CE74DA489271AC6D5BECA2CEC99F6FEC078911FA229CE7ED6173D51C611714A2910C75F17Fb5I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4A44FCBD-E276-4C0D-9707-1234D1CA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88</Pages>
  <Words>20118</Words>
  <Characters>114673</Characters>
  <Application>Microsoft Office Word</Application>
  <DocSecurity>0</DocSecurity>
  <Lines>955</Lines>
  <Paragraphs>269</Paragraphs>
  <ScaleCrop>false</ScaleCrop>
  <Company/>
  <LinksUpToDate>false</LinksUpToDate>
  <CharactersWithSpaces>134522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Polly</cp:lastModifiedBy>
  <cp:revision>4</cp:revision>
  <dcterms:created xsi:type="dcterms:W3CDTF">2022-06-08T07:35:00Z</dcterms:created>
  <dcterms:modified xsi:type="dcterms:W3CDTF">2022-07-20T09:28:00Z</dcterms:modified>
</cp:coreProperties>
</file>