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42" w:rsidRPr="0059493B" w:rsidRDefault="00AD5742" w:rsidP="00AD5742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  <w:r>
        <w:rPr>
          <w:rFonts w:ascii="Calibri" w:eastAsia="Times New Roman" w:hAnsi="Calibri"/>
          <w:noProof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0D08C5EC" wp14:editId="249DB3BF">
            <wp:simplePos x="0" y="0"/>
            <wp:positionH relativeFrom="column">
              <wp:posOffset>2553970</wp:posOffset>
            </wp:positionH>
            <wp:positionV relativeFrom="paragraph">
              <wp:posOffset>-129540</wp:posOffset>
            </wp:positionV>
            <wp:extent cx="838200" cy="1052830"/>
            <wp:effectExtent l="19050" t="0" r="0" b="0"/>
            <wp:wrapNone/>
            <wp:docPr id="1" name="Рисунок 1" descr="D:\Temp\KillCopy.Temp\f4a5fea9f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Temp\KillCopy.Temp\f4a5fea9f7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742" w:rsidRPr="0059493B" w:rsidRDefault="00AD5742" w:rsidP="00AD5742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p w:rsidR="00AD5742" w:rsidRPr="0059493B" w:rsidRDefault="00AD5742" w:rsidP="00AD5742">
      <w:pPr>
        <w:spacing w:after="200" w:line="276" w:lineRule="auto"/>
        <w:rPr>
          <w:rFonts w:ascii="Calibri" w:eastAsia="Times New Roman" w:hAnsi="Calibri"/>
          <w:noProof/>
          <w:sz w:val="22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AD5742" w:rsidRPr="0059493B" w:rsidTr="00AD5742">
        <w:trPr>
          <w:jc w:val="center"/>
        </w:trPr>
        <w:tc>
          <w:tcPr>
            <w:tcW w:w="9571" w:type="dxa"/>
          </w:tcPr>
          <w:p w:rsidR="00AD5742" w:rsidRDefault="00AD5742" w:rsidP="00AD5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РЕСПУБЛИКÆ </w:t>
            </w:r>
            <w:proofErr w:type="gramStart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>Ц</w:t>
            </w:r>
            <w:proofErr w:type="gramEnd"/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ÆГАТ ИРЫСТОН-АЛАНИ </w:t>
            </w:r>
          </w:p>
          <w:p w:rsidR="00AD5742" w:rsidRDefault="00AD5742" w:rsidP="00AD5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  <w:t xml:space="preserve">РАХИЗФАРСЫ РАЙОНЫ БЕСЛÆНЫ ГОРÆТЫ </w:t>
            </w:r>
          </w:p>
          <w:p w:rsidR="00AD5742" w:rsidRDefault="00AD5742" w:rsidP="00AD5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  <w:r w:rsidRPr="00511D4A">
              <w:rPr>
                <w:b/>
                <w:sz w:val="20"/>
                <w:szCs w:val="20"/>
              </w:rPr>
              <w:t>МУНИЦИПАЛОН ХАЙАДЫ</w:t>
            </w:r>
          </w:p>
          <w:p w:rsidR="00AD5742" w:rsidRDefault="00AD5742" w:rsidP="00AD5742">
            <w:pPr>
              <w:spacing w:line="276" w:lineRule="auto"/>
              <w:jc w:val="center"/>
              <w:rPr>
                <w:b/>
                <w:sz w:val="22"/>
              </w:rPr>
            </w:pPr>
            <w:r w:rsidRPr="00511D4A">
              <w:rPr>
                <w:b/>
                <w:sz w:val="20"/>
                <w:szCs w:val="20"/>
              </w:rPr>
              <w:t>КОНТРОЛОН</w:t>
            </w:r>
            <w:r>
              <w:rPr>
                <w:b/>
                <w:sz w:val="22"/>
              </w:rPr>
              <w:t xml:space="preserve"> </w:t>
            </w:r>
            <w:r w:rsidRPr="00511D4A">
              <w:rPr>
                <w:b/>
                <w:sz w:val="20"/>
                <w:szCs w:val="20"/>
              </w:rPr>
              <w:t>НЫМАЙÆН ПАЛАТÆ</w:t>
            </w:r>
            <w:r w:rsidRPr="008E43D0">
              <w:rPr>
                <w:b/>
                <w:sz w:val="22"/>
              </w:rPr>
              <w:t xml:space="preserve"> </w:t>
            </w:r>
          </w:p>
          <w:p w:rsidR="00AD5742" w:rsidRPr="00511D4A" w:rsidRDefault="00AD5742" w:rsidP="00AD5742">
            <w:pPr>
              <w:spacing w:line="276" w:lineRule="auto"/>
              <w:jc w:val="center"/>
              <w:rPr>
                <w:rFonts w:eastAsia="Times New Roman"/>
                <w:b/>
                <w:color w:val="000000"/>
                <w:spacing w:val="3"/>
                <w:sz w:val="20"/>
                <w:szCs w:val="20"/>
                <w:lang w:eastAsia="ru-RU"/>
              </w:rPr>
            </w:pPr>
          </w:p>
        </w:tc>
      </w:tr>
      <w:tr w:rsidR="00AD5742" w:rsidRPr="0059493B" w:rsidTr="00AD5742">
        <w:trPr>
          <w:jc w:val="center"/>
        </w:trPr>
        <w:tc>
          <w:tcPr>
            <w:tcW w:w="9571" w:type="dxa"/>
          </w:tcPr>
          <w:p w:rsidR="00AD5742" w:rsidRPr="0059493B" w:rsidRDefault="00AD5742" w:rsidP="00AD5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AD5742" w:rsidRPr="0059493B" w:rsidTr="00AD5742">
        <w:trPr>
          <w:trHeight w:val="877"/>
          <w:jc w:val="center"/>
        </w:trPr>
        <w:tc>
          <w:tcPr>
            <w:tcW w:w="9571" w:type="dxa"/>
          </w:tcPr>
          <w:p w:rsidR="00AD5742" w:rsidRDefault="00AD5742" w:rsidP="00AD5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КОНТРОЛЬНО-СЧЕТНАЯ ПАЛАТА</w:t>
            </w:r>
          </w:p>
          <w:p w:rsidR="00AD5742" w:rsidRDefault="00AD5742" w:rsidP="00AD5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БЕСЛАНСКОГО ГОРОДСКОГО ПОСЕЛЕНИЯ </w:t>
            </w:r>
          </w:p>
          <w:p w:rsidR="00AD5742" w:rsidRDefault="00AD5742" w:rsidP="00AD5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9493B"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 xml:space="preserve">ПРАВОБЕРЕЖНОГО РАЙОНА </w:t>
            </w:r>
            <w:r w:rsidRPr="0059493B">
              <w:rPr>
                <w:rFonts w:eastAsia="Times New Roman"/>
                <w:b/>
                <w:sz w:val="20"/>
                <w:szCs w:val="20"/>
                <w:lang w:eastAsia="ru-RU"/>
              </w:rPr>
              <w:t>РЕСПУБЛИКИ СЕВЕРНАЯ ОСЕТИЯ-АЛАНИЯ</w:t>
            </w:r>
          </w:p>
          <w:p w:rsidR="00AD5742" w:rsidRPr="001A6510" w:rsidRDefault="00AD5742" w:rsidP="00AD57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1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</w:tc>
      </w:tr>
    </w:tbl>
    <w:p w:rsidR="00AD5742" w:rsidRPr="0059493B" w:rsidRDefault="00AD5742" w:rsidP="00AD5742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24"/>
          <w:szCs w:val="24"/>
          <w:lang w:eastAsia="ru-RU"/>
        </w:rPr>
      </w:pPr>
    </w:p>
    <w:p w:rsidR="00AD5742" w:rsidRDefault="00AD5742" w:rsidP="00AD5742">
      <w:pPr>
        <w:shd w:val="clear" w:color="auto" w:fill="FFFFFF"/>
        <w:spacing w:line="276" w:lineRule="auto"/>
        <w:jc w:val="center"/>
        <w:rPr>
          <w:rFonts w:eastAsia="Times New Roman"/>
          <w:b/>
          <w:color w:val="000000"/>
          <w:spacing w:val="-12"/>
          <w:position w:val="-10"/>
          <w:sz w:val="30"/>
          <w:szCs w:val="30"/>
          <w:lang w:eastAsia="ru-RU"/>
        </w:rPr>
      </w:pPr>
    </w:p>
    <w:p w:rsidR="00AD5742" w:rsidRPr="0097218E" w:rsidRDefault="00AD5742" w:rsidP="00AD5742">
      <w:pPr>
        <w:jc w:val="center"/>
        <w:rPr>
          <w:szCs w:val="28"/>
        </w:rPr>
      </w:pPr>
      <w:r w:rsidRPr="0097218E">
        <w:rPr>
          <w:b/>
          <w:szCs w:val="28"/>
        </w:rPr>
        <w:t>Заключение</w:t>
      </w:r>
    </w:p>
    <w:p w:rsidR="00AD5742" w:rsidRPr="0097218E" w:rsidRDefault="00AD5742" w:rsidP="00AD5742">
      <w:pPr>
        <w:jc w:val="center"/>
        <w:rPr>
          <w:b/>
          <w:szCs w:val="28"/>
        </w:rPr>
      </w:pPr>
      <w:r w:rsidRPr="0097218E">
        <w:rPr>
          <w:b/>
          <w:szCs w:val="28"/>
        </w:rPr>
        <w:t>к проекту решения Собрания представителей</w:t>
      </w:r>
    </w:p>
    <w:p w:rsidR="00AD5742" w:rsidRPr="0097218E" w:rsidRDefault="00AD5742" w:rsidP="00AD5742">
      <w:pPr>
        <w:jc w:val="center"/>
        <w:rPr>
          <w:b/>
          <w:szCs w:val="28"/>
        </w:rPr>
      </w:pPr>
      <w:r w:rsidRPr="0097218E">
        <w:rPr>
          <w:b/>
          <w:szCs w:val="28"/>
        </w:rPr>
        <w:t xml:space="preserve">муниципального образования </w:t>
      </w:r>
      <w:proofErr w:type="spellStart"/>
      <w:r w:rsidRPr="0097218E">
        <w:rPr>
          <w:b/>
          <w:szCs w:val="28"/>
        </w:rPr>
        <w:t>Бесланского</w:t>
      </w:r>
      <w:proofErr w:type="spellEnd"/>
      <w:r w:rsidRPr="0097218E">
        <w:rPr>
          <w:b/>
          <w:szCs w:val="28"/>
        </w:rPr>
        <w:t xml:space="preserve"> городского поселения</w:t>
      </w:r>
    </w:p>
    <w:p w:rsidR="00AD5742" w:rsidRPr="0097218E" w:rsidRDefault="00AD5742" w:rsidP="00AD5742">
      <w:pPr>
        <w:jc w:val="center"/>
        <w:rPr>
          <w:b/>
          <w:szCs w:val="28"/>
        </w:rPr>
      </w:pPr>
      <w:r w:rsidRPr="0097218E">
        <w:rPr>
          <w:b/>
          <w:szCs w:val="28"/>
        </w:rPr>
        <w:t>Правобережного района Республики Северная Осетия - Алания</w:t>
      </w:r>
    </w:p>
    <w:p w:rsidR="00AD5742" w:rsidRDefault="00AD5742" w:rsidP="00AD5742">
      <w:pPr>
        <w:jc w:val="center"/>
        <w:rPr>
          <w:b/>
          <w:szCs w:val="28"/>
        </w:rPr>
      </w:pPr>
      <w:r w:rsidRPr="0097218E">
        <w:rPr>
          <w:b/>
          <w:szCs w:val="28"/>
        </w:rPr>
        <w:t xml:space="preserve">"О бюджете МО </w:t>
      </w:r>
      <w:proofErr w:type="spellStart"/>
      <w:r w:rsidRPr="0097218E">
        <w:rPr>
          <w:b/>
          <w:szCs w:val="28"/>
        </w:rPr>
        <w:t>Бесланск</w:t>
      </w:r>
      <w:r>
        <w:rPr>
          <w:b/>
          <w:szCs w:val="28"/>
        </w:rPr>
        <w:t>ого</w:t>
      </w:r>
      <w:proofErr w:type="spellEnd"/>
      <w:r>
        <w:rPr>
          <w:b/>
          <w:szCs w:val="28"/>
        </w:rPr>
        <w:t xml:space="preserve"> городского поселения на 2023</w:t>
      </w:r>
      <w:r w:rsidRPr="0097218E">
        <w:rPr>
          <w:b/>
          <w:szCs w:val="28"/>
        </w:rPr>
        <w:t xml:space="preserve"> год"</w:t>
      </w:r>
    </w:p>
    <w:p w:rsidR="007C6A8E" w:rsidRDefault="007C6A8E" w:rsidP="00AD5742">
      <w:pPr>
        <w:jc w:val="center"/>
        <w:rPr>
          <w:b/>
          <w:szCs w:val="28"/>
        </w:rPr>
      </w:pPr>
    </w:p>
    <w:p w:rsidR="00AD5742" w:rsidRDefault="00AD5742" w:rsidP="00AD5742">
      <w:pPr>
        <w:jc w:val="center"/>
        <w:rPr>
          <w:b/>
          <w:szCs w:val="28"/>
        </w:rPr>
      </w:pPr>
    </w:p>
    <w:p w:rsidR="00062C91" w:rsidRPr="00062C91" w:rsidRDefault="00062C91" w:rsidP="00062C91">
      <w:pPr>
        <w:jc w:val="both"/>
        <w:rPr>
          <w:rFonts w:eastAsia="Times New Roman"/>
          <w:szCs w:val="28"/>
          <w:lang w:eastAsia="ru-RU"/>
        </w:rPr>
      </w:pPr>
      <w:r w:rsidRPr="00062C91">
        <w:rPr>
          <w:b/>
          <w:szCs w:val="28"/>
        </w:rPr>
        <w:t>1. Основание для проведения экспертно-аналитического мероприятия:</w:t>
      </w:r>
      <w:r w:rsidRPr="00062C91">
        <w:rPr>
          <w:szCs w:val="28"/>
        </w:rPr>
        <w:t xml:space="preserve"> пункт 2.2 П</w:t>
      </w:r>
      <w:r w:rsidRPr="00062C91">
        <w:rPr>
          <w:szCs w:val="28"/>
        </w:rPr>
        <w:t xml:space="preserve">лана работы Контрольно-счетной палаты </w:t>
      </w:r>
      <w:r w:rsidRPr="00062C91">
        <w:rPr>
          <w:szCs w:val="28"/>
        </w:rPr>
        <w:t>МО</w:t>
      </w:r>
      <w:r w:rsidRPr="00062C91">
        <w:rPr>
          <w:szCs w:val="28"/>
        </w:rPr>
        <w:br/>
      </w:r>
      <w:proofErr w:type="spellStart"/>
      <w:r w:rsidRPr="00062C91">
        <w:rPr>
          <w:szCs w:val="28"/>
        </w:rPr>
        <w:t>Бесланского</w:t>
      </w:r>
      <w:proofErr w:type="spellEnd"/>
      <w:r w:rsidRPr="00062C91">
        <w:rPr>
          <w:szCs w:val="28"/>
        </w:rPr>
        <w:t xml:space="preserve"> городского поселения на 2022 год, утвержденного распоряжением председателя Контрольно-счетной палаты </w:t>
      </w:r>
      <w:proofErr w:type="spellStart"/>
      <w:r w:rsidRPr="00062C91">
        <w:rPr>
          <w:szCs w:val="28"/>
        </w:rPr>
        <w:t>Бесланского</w:t>
      </w:r>
      <w:proofErr w:type="spellEnd"/>
      <w:r w:rsidRPr="00062C91">
        <w:rPr>
          <w:szCs w:val="28"/>
        </w:rPr>
        <w:t xml:space="preserve"> городского поселения </w:t>
      </w:r>
      <w:r w:rsidRPr="00062C91">
        <w:rPr>
          <w:rFonts w:eastAsia="Times New Roman"/>
          <w:szCs w:val="28"/>
          <w:lang w:eastAsia="ru-RU"/>
        </w:rPr>
        <w:t>от  28 декабря  2021 года № 3-р</w:t>
      </w:r>
    </w:p>
    <w:p w:rsidR="00062C91" w:rsidRDefault="00062C91" w:rsidP="00062C91">
      <w:pPr>
        <w:tabs>
          <w:tab w:val="left" w:pos="851"/>
        </w:tabs>
        <w:ind w:firstLine="709"/>
        <w:contextualSpacing/>
        <w:jc w:val="both"/>
        <w:rPr>
          <w:szCs w:val="28"/>
        </w:rPr>
      </w:pPr>
    </w:p>
    <w:p w:rsidR="00062C91" w:rsidRDefault="00062C91" w:rsidP="002A356F">
      <w:pPr>
        <w:snapToGrid w:val="0"/>
        <w:contextualSpacing/>
        <w:jc w:val="both"/>
        <w:rPr>
          <w:color w:val="000000"/>
          <w:szCs w:val="28"/>
        </w:rPr>
      </w:pPr>
      <w:r>
        <w:rPr>
          <w:b/>
          <w:szCs w:val="28"/>
        </w:rPr>
        <w:t xml:space="preserve">2. </w:t>
      </w:r>
      <w:proofErr w:type="gramStart"/>
      <w:r>
        <w:rPr>
          <w:b/>
          <w:szCs w:val="28"/>
        </w:rPr>
        <w:t xml:space="preserve">Цель экспертно-аналитического мероприятия: </w:t>
      </w:r>
      <w:r>
        <w:rPr>
          <w:szCs w:val="28"/>
        </w:rPr>
        <w:t xml:space="preserve">экспертиза проекта решения Собрания представителей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«О бюджете</w:t>
      </w:r>
      <w:r>
        <w:rPr>
          <w:szCs w:val="28"/>
        </w:rPr>
        <w:t xml:space="preserve">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>
        <w:rPr>
          <w:szCs w:val="28"/>
        </w:rPr>
        <w:t xml:space="preserve"> на 202</w:t>
      </w:r>
      <w:r>
        <w:rPr>
          <w:szCs w:val="28"/>
        </w:rPr>
        <w:t>3</w:t>
      </w:r>
      <w:r>
        <w:rPr>
          <w:szCs w:val="28"/>
        </w:rPr>
        <w:t xml:space="preserve"> год» и </w:t>
      </w:r>
      <w:r>
        <w:rPr>
          <w:color w:val="000000"/>
          <w:szCs w:val="28"/>
        </w:rPr>
        <w:t>оценка соответствия внесенного проекта решения о бюджете сведениям и документам, являющимися основанием составления проекта решения о бюджете; оценка соответствия текстовой части и структуры проекта решения о бюджете требованиям бюджетного законодательства;</w:t>
      </w:r>
      <w:proofErr w:type="gramEnd"/>
      <w:r>
        <w:rPr>
          <w:color w:val="000000"/>
          <w:szCs w:val="28"/>
        </w:rPr>
        <w:t xml:space="preserve"> оценка достоверности и полноты отражения доходов в доходной части бюджета; оценка запланированных бюджетных ассигнований на реализацию мероприятий </w:t>
      </w:r>
      <w:r w:rsidR="002A356F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направлений деятельн</w:t>
      </w:r>
      <w:r w:rsidR="002A356F">
        <w:rPr>
          <w:color w:val="000000"/>
          <w:szCs w:val="28"/>
        </w:rPr>
        <w:t>ости в расходной части бюджета.</w:t>
      </w:r>
    </w:p>
    <w:p w:rsidR="002A356F" w:rsidRDefault="002A356F" w:rsidP="002A356F">
      <w:pPr>
        <w:snapToGrid w:val="0"/>
        <w:contextualSpacing/>
        <w:rPr>
          <w:color w:val="000000"/>
          <w:szCs w:val="28"/>
          <w:lang w:eastAsia="zh-CN"/>
        </w:rPr>
      </w:pPr>
    </w:p>
    <w:p w:rsidR="00062C91" w:rsidRDefault="00062C91" w:rsidP="002A356F">
      <w:pPr>
        <w:snapToGrid w:val="0"/>
        <w:contextualSpacing/>
        <w:jc w:val="both"/>
        <w:rPr>
          <w:szCs w:val="28"/>
        </w:rPr>
      </w:pPr>
      <w:r>
        <w:rPr>
          <w:b/>
          <w:szCs w:val="28"/>
        </w:rPr>
        <w:t xml:space="preserve">3. Предмет экспертно-аналитического мероприятия: </w:t>
      </w:r>
      <w:r>
        <w:rPr>
          <w:szCs w:val="28"/>
        </w:rPr>
        <w:t xml:space="preserve">экспертиза проекта решения Собрания представителей </w:t>
      </w:r>
      <w:proofErr w:type="spellStart"/>
      <w:r w:rsidR="002A356F">
        <w:rPr>
          <w:szCs w:val="28"/>
        </w:rPr>
        <w:t>Бесланского</w:t>
      </w:r>
      <w:proofErr w:type="spellEnd"/>
      <w:r w:rsidR="002A356F">
        <w:rPr>
          <w:szCs w:val="28"/>
        </w:rPr>
        <w:t xml:space="preserve"> городского поселения</w:t>
      </w:r>
      <w:r>
        <w:rPr>
          <w:szCs w:val="28"/>
        </w:rPr>
        <w:t xml:space="preserve"> «О бюджет</w:t>
      </w:r>
      <w:r w:rsidR="002A356F">
        <w:rPr>
          <w:szCs w:val="28"/>
        </w:rPr>
        <w:t>е</w:t>
      </w:r>
      <w:r>
        <w:rPr>
          <w:szCs w:val="28"/>
        </w:rPr>
        <w:t xml:space="preserve"> муниципального образования </w:t>
      </w:r>
      <w:proofErr w:type="spellStart"/>
      <w:r w:rsidR="002A356F">
        <w:rPr>
          <w:szCs w:val="28"/>
        </w:rPr>
        <w:t>Бесланского</w:t>
      </w:r>
      <w:proofErr w:type="spellEnd"/>
      <w:r w:rsidR="002A356F">
        <w:rPr>
          <w:szCs w:val="28"/>
        </w:rPr>
        <w:t xml:space="preserve"> городского поселения</w:t>
      </w:r>
      <w:r>
        <w:rPr>
          <w:szCs w:val="28"/>
        </w:rPr>
        <w:t xml:space="preserve"> </w:t>
      </w:r>
      <w:r w:rsidR="002A356F">
        <w:rPr>
          <w:szCs w:val="28"/>
        </w:rPr>
        <w:t xml:space="preserve">на 2023 </w:t>
      </w:r>
      <w:r>
        <w:rPr>
          <w:szCs w:val="28"/>
        </w:rPr>
        <w:t xml:space="preserve">год» </w:t>
      </w:r>
    </w:p>
    <w:p w:rsidR="002A356F" w:rsidRDefault="002A356F" w:rsidP="002A356F">
      <w:pPr>
        <w:contextualSpacing/>
        <w:rPr>
          <w:b/>
          <w:szCs w:val="28"/>
        </w:rPr>
      </w:pPr>
    </w:p>
    <w:p w:rsidR="00062C91" w:rsidRDefault="00062C91" w:rsidP="002A356F">
      <w:pPr>
        <w:contextualSpacing/>
        <w:jc w:val="both"/>
        <w:rPr>
          <w:szCs w:val="28"/>
        </w:rPr>
      </w:pPr>
      <w:r>
        <w:rPr>
          <w:b/>
          <w:szCs w:val="28"/>
        </w:rPr>
        <w:t xml:space="preserve">4. Перечень нормативных правовых актов, использованных и проанализированных в процессе проведения экспертно-аналитического мероприятия: </w:t>
      </w:r>
      <w:proofErr w:type="gramStart"/>
      <w:r w:rsidR="002A356F">
        <w:rPr>
          <w:szCs w:val="28"/>
        </w:rPr>
        <w:t>Бюджетный кодекс Российской Ф</w:t>
      </w:r>
      <w:r w:rsidR="002A356F" w:rsidRPr="002A356F">
        <w:rPr>
          <w:szCs w:val="28"/>
        </w:rPr>
        <w:t>едерации</w:t>
      </w:r>
      <w:r w:rsidR="002A356F">
        <w:rPr>
          <w:b/>
          <w:szCs w:val="28"/>
        </w:rPr>
        <w:t xml:space="preserve">, </w:t>
      </w:r>
      <w:r>
        <w:rPr>
          <w:szCs w:val="28"/>
        </w:rPr>
        <w:t xml:space="preserve">Федеральный </w:t>
      </w:r>
      <w:r>
        <w:rPr>
          <w:szCs w:val="28"/>
        </w:rPr>
        <w:lastRenderedPageBreak/>
        <w:t>закон РФ от 06.10.2003 № 131-ФЗ «Об общих принципах организации местного самоуправления в Российской Федерации», Федеральный закон от 25.12.2008 № 273-ФЗ «О противодействии коррупции», Закон Республики Северная Осетия-Алания от 25.04.2006 № 24-РЗ «О местном самоуправлении в Республике Северная Осетия-Алания», Ус</w:t>
      </w:r>
      <w:r w:rsidR="002A356F">
        <w:rPr>
          <w:szCs w:val="28"/>
        </w:rPr>
        <w:t xml:space="preserve">тав муниципального образования </w:t>
      </w:r>
      <w:proofErr w:type="spellStart"/>
      <w:r w:rsidR="002A356F">
        <w:rPr>
          <w:szCs w:val="28"/>
        </w:rPr>
        <w:t>Бесланского</w:t>
      </w:r>
      <w:proofErr w:type="spellEnd"/>
      <w:r w:rsidR="002A356F">
        <w:rPr>
          <w:szCs w:val="28"/>
        </w:rPr>
        <w:t xml:space="preserve"> городского поселения</w:t>
      </w:r>
      <w:r>
        <w:rPr>
          <w:szCs w:val="28"/>
        </w:rPr>
        <w:t xml:space="preserve">, </w:t>
      </w:r>
      <w:r w:rsidR="002A356F">
        <w:rPr>
          <w:szCs w:val="28"/>
        </w:rPr>
        <w:t xml:space="preserve">Правила благоустройства </w:t>
      </w:r>
      <w:proofErr w:type="spellStart"/>
      <w:r w:rsidR="002A356F">
        <w:rPr>
          <w:szCs w:val="28"/>
        </w:rPr>
        <w:t>Бесланского</w:t>
      </w:r>
      <w:proofErr w:type="spellEnd"/>
      <w:r w:rsidR="002A356F">
        <w:rPr>
          <w:szCs w:val="28"/>
        </w:rPr>
        <w:t xml:space="preserve"> городского поселения. </w:t>
      </w:r>
      <w:proofErr w:type="gramEnd"/>
    </w:p>
    <w:p w:rsidR="00D57756" w:rsidRDefault="00D57756" w:rsidP="00D57756">
      <w:pPr>
        <w:snapToGrid w:val="0"/>
        <w:contextualSpacing/>
        <w:rPr>
          <w:szCs w:val="28"/>
        </w:rPr>
      </w:pPr>
    </w:p>
    <w:p w:rsidR="00062C91" w:rsidRDefault="00D57756" w:rsidP="00D57756">
      <w:pPr>
        <w:snapToGrid w:val="0"/>
        <w:contextualSpacing/>
        <w:rPr>
          <w:szCs w:val="28"/>
        </w:rPr>
      </w:pPr>
      <w:r>
        <w:rPr>
          <w:b/>
          <w:szCs w:val="28"/>
        </w:rPr>
        <w:t>5</w:t>
      </w:r>
      <w:r w:rsidR="00062C91">
        <w:rPr>
          <w:b/>
          <w:szCs w:val="28"/>
        </w:rPr>
        <w:t xml:space="preserve">. Результаты экспертно-аналитического мероприятия: 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Default="00AD5742" w:rsidP="00AD5742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3D3D3D"/>
          <w:szCs w:val="28"/>
          <w:bdr w:val="none" w:sz="0" w:space="0" w:color="auto" w:frame="1"/>
          <w:lang w:eastAsia="ru-RU"/>
        </w:rPr>
        <w:t xml:space="preserve">           </w:t>
      </w: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Заключение Контрольно-счетной палаты  муниципального образования </w:t>
      </w:r>
      <w:proofErr w:type="spellStart"/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>Бесланского</w:t>
      </w:r>
      <w:proofErr w:type="spellEnd"/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 городского поселения Правобережного района на проект решения  </w:t>
      </w:r>
      <w:r>
        <w:rPr>
          <w:szCs w:val="28"/>
        </w:rPr>
        <w:t xml:space="preserve">Собрания представителей муниципального образования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"О бюджете 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2023 год"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(далее – проект бюджета) </w:t>
      </w: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>подготовлено в соответствии со статьей 157 Бюджетного кодекса Российской Федерации</w:t>
      </w:r>
      <w:r>
        <w:rPr>
          <w:rFonts w:eastAsia="Times New Roman"/>
          <w:szCs w:val="28"/>
          <w:bdr w:val="none" w:sz="0" w:space="0" w:color="auto" w:frame="1"/>
          <w:lang w:eastAsia="ru-RU"/>
        </w:rPr>
        <w:t>.</w:t>
      </w:r>
    </w:p>
    <w:p w:rsidR="00AD5742" w:rsidRDefault="00AD5742" w:rsidP="00AD5742">
      <w:pPr>
        <w:jc w:val="both"/>
        <w:rPr>
          <w:rFonts w:eastAsia="Times New Roman"/>
          <w:szCs w:val="28"/>
          <w:bdr w:val="none" w:sz="0" w:space="0" w:color="auto" w:frame="1"/>
          <w:lang w:eastAsia="ru-RU"/>
        </w:rPr>
      </w:pP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</w:t>
      </w:r>
      <w:r w:rsidR="002A356F">
        <w:rPr>
          <w:rFonts w:eastAsia="Times New Roman"/>
          <w:szCs w:val="28"/>
          <w:bdr w:val="none" w:sz="0" w:space="0" w:color="auto" w:frame="1"/>
          <w:lang w:eastAsia="ru-RU"/>
        </w:rPr>
        <w:t xml:space="preserve"> </w:t>
      </w: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 xml:space="preserve"> К проекту 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бюджета </w:t>
      </w:r>
      <w:r w:rsidRPr="00C32307">
        <w:rPr>
          <w:rFonts w:eastAsia="Times New Roman"/>
          <w:szCs w:val="28"/>
          <w:bdr w:val="none" w:sz="0" w:space="0" w:color="auto" w:frame="1"/>
          <w:lang w:eastAsia="ru-RU"/>
        </w:rPr>
        <w:t>приложены  документы и материалы, представление которых предусмотрено статьей 184.2 Бюджетного кодекса Российской Федерации</w:t>
      </w:r>
      <w:r>
        <w:rPr>
          <w:rFonts w:eastAsia="Times New Roman"/>
          <w:szCs w:val="28"/>
          <w:bdr w:val="none" w:sz="0" w:space="0" w:color="auto" w:frame="1"/>
          <w:lang w:eastAsia="ru-RU"/>
        </w:rPr>
        <w:t xml:space="preserve"> (пояснительная записка,  иные документы).</w:t>
      </w:r>
    </w:p>
    <w:p w:rsidR="00AD5742" w:rsidRPr="00E34B52" w:rsidRDefault="00AD5742" w:rsidP="00AD5742">
      <w:pPr>
        <w:jc w:val="both"/>
        <w:rPr>
          <w:rFonts w:ascii="Verdana" w:eastAsia="Times New Roman" w:hAnsi="Verdana"/>
          <w:sz w:val="17"/>
          <w:szCs w:val="17"/>
          <w:lang w:eastAsia="ru-RU"/>
        </w:rPr>
      </w:pPr>
      <w:r>
        <w:rPr>
          <w:szCs w:val="28"/>
        </w:rPr>
        <w:t xml:space="preserve">         </w:t>
      </w:r>
      <w:r w:rsidR="002A356F">
        <w:rPr>
          <w:szCs w:val="28"/>
        </w:rPr>
        <w:t xml:space="preserve">  </w:t>
      </w:r>
      <w:r>
        <w:rPr>
          <w:szCs w:val="28"/>
        </w:rPr>
        <w:t>При подготовке заключения</w:t>
      </w:r>
      <w:proofErr w:type="gramStart"/>
      <w:r>
        <w:rPr>
          <w:szCs w:val="28"/>
        </w:rPr>
        <w:t xml:space="preserve"> К</w:t>
      </w:r>
      <w:proofErr w:type="gramEnd"/>
      <w:r>
        <w:rPr>
          <w:szCs w:val="28"/>
        </w:rPr>
        <w:t xml:space="preserve">онтрольно – счетной палатой использовались действующие федеральные, республиканские и местные нормативные правовые акты, регламентирующие порядок формирования бюджета на 2023 год, отчеты об исполнении бюджета 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на 2020г, 2021г, уточненные показатели  бюджета  на 2022 год. </w:t>
      </w:r>
    </w:p>
    <w:p w:rsidR="00AD5742" w:rsidRPr="00B050EC" w:rsidRDefault="00AD5742" w:rsidP="00AD5742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</w:t>
      </w:r>
    </w:p>
    <w:p w:rsidR="00AD5742" w:rsidRDefault="00AD5742" w:rsidP="00AD5742">
      <w:pPr>
        <w:jc w:val="center"/>
        <w:rPr>
          <w:b/>
          <w:szCs w:val="28"/>
        </w:rPr>
      </w:pPr>
      <w:r w:rsidRPr="00932DC5">
        <w:rPr>
          <w:b/>
          <w:szCs w:val="28"/>
        </w:rPr>
        <w:t xml:space="preserve">Основные характеристики проекта бюджета на </w:t>
      </w:r>
      <w:r w:rsidR="00DB27D5">
        <w:rPr>
          <w:b/>
          <w:szCs w:val="28"/>
        </w:rPr>
        <w:t>2023</w:t>
      </w:r>
      <w:r>
        <w:rPr>
          <w:b/>
          <w:szCs w:val="28"/>
        </w:rPr>
        <w:t xml:space="preserve"> год</w:t>
      </w:r>
    </w:p>
    <w:p w:rsidR="00AD5742" w:rsidRPr="00932DC5" w:rsidRDefault="00AD5742" w:rsidP="00AD5742">
      <w:pPr>
        <w:jc w:val="center"/>
        <w:rPr>
          <w:b/>
          <w:szCs w:val="28"/>
        </w:rPr>
      </w:pPr>
    </w:p>
    <w:p w:rsidR="00AD5742" w:rsidRDefault="00AD5742" w:rsidP="00AD5742">
      <w:pPr>
        <w:jc w:val="both"/>
        <w:rPr>
          <w:b/>
          <w:szCs w:val="28"/>
        </w:rPr>
      </w:pPr>
      <w:r w:rsidRPr="00881709">
        <w:rPr>
          <w:szCs w:val="28"/>
        </w:rPr>
        <w:t xml:space="preserve">            </w:t>
      </w:r>
      <w:r w:rsidRPr="00881709">
        <w:rPr>
          <w:b/>
          <w:szCs w:val="28"/>
        </w:rPr>
        <w:t>Прогнозируемый общ</w:t>
      </w:r>
      <w:r w:rsidR="00DB27D5">
        <w:rPr>
          <w:b/>
          <w:szCs w:val="28"/>
        </w:rPr>
        <w:t>ий объем доходов бюджета на 2023 год сформирован в сумме 842</w:t>
      </w:r>
      <w:r>
        <w:rPr>
          <w:b/>
          <w:szCs w:val="28"/>
        </w:rPr>
        <w:t xml:space="preserve">00 тыс. руб. и  состоит на </w:t>
      </w:r>
      <w:r w:rsidR="00DB27D5">
        <w:rPr>
          <w:b/>
          <w:szCs w:val="28"/>
        </w:rPr>
        <w:t>100</w:t>
      </w:r>
      <w:r w:rsidRPr="00881709">
        <w:rPr>
          <w:b/>
          <w:szCs w:val="28"/>
        </w:rPr>
        <w:t>% из собственных д</w:t>
      </w:r>
      <w:r>
        <w:rPr>
          <w:b/>
          <w:szCs w:val="28"/>
        </w:rPr>
        <w:t xml:space="preserve">оходов с </w:t>
      </w:r>
      <w:r w:rsidR="00DB27D5">
        <w:rPr>
          <w:b/>
          <w:szCs w:val="28"/>
        </w:rPr>
        <w:t>увеличением против уточненного бюджета 2022</w:t>
      </w:r>
      <w:r w:rsidRPr="00881709">
        <w:rPr>
          <w:b/>
          <w:szCs w:val="28"/>
        </w:rPr>
        <w:t xml:space="preserve"> года на </w:t>
      </w:r>
      <w:r w:rsidR="00DB27D5">
        <w:rPr>
          <w:b/>
          <w:szCs w:val="28"/>
        </w:rPr>
        <w:t>3570,0</w:t>
      </w:r>
      <w:r>
        <w:rPr>
          <w:b/>
          <w:szCs w:val="28"/>
        </w:rPr>
        <w:t xml:space="preserve"> тыс. рублей или на</w:t>
      </w:r>
      <w:r w:rsidR="00DB27D5">
        <w:rPr>
          <w:b/>
          <w:szCs w:val="28"/>
        </w:rPr>
        <w:t xml:space="preserve"> 4,3</w:t>
      </w:r>
      <w:r w:rsidRPr="00881709">
        <w:rPr>
          <w:b/>
          <w:szCs w:val="28"/>
        </w:rPr>
        <w:t>%.</w:t>
      </w:r>
      <w:r w:rsidRPr="00881709">
        <w:rPr>
          <w:rFonts w:ascii="Arial" w:hAnsi="Arial" w:cs="Arial"/>
          <w:b/>
          <w:sz w:val="30"/>
          <w:szCs w:val="30"/>
        </w:rPr>
        <w:t xml:space="preserve"> </w:t>
      </w:r>
      <w:r w:rsidRPr="00881709">
        <w:rPr>
          <w:b/>
          <w:szCs w:val="28"/>
        </w:rPr>
        <w:t xml:space="preserve">Безвозмездные поступления </w:t>
      </w:r>
      <w:r w:rsidR="00DB27D5">
        <w:rPr>
          <w:b/>
          <w:szCs w:val="28"/>
        </w:rPr>
        <w:t>не запланированы</w:t>
      </w:r>
      <w:r>
        <w:rPr>
          <w:b/>
          <w:szCs w:val="28"/>
        </w:rPr>
        <w:t>.</w:t>
      </w:r>
      <w:r w:rsidRPr="00881709">
        <w:rPr>
          <w:b/>
          <w:szCs w:val="28"/>
        </w:rPr>
        <w:t xml:space="preserve"> </w:t>
      </w:r>
    </w:p>
    <w:p w:rsidR="00AD5742" w:rsidRPr="00881709" w:rsidRDefault="00AD5742" w:rsidP="00AD5742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</w:t>
      </w:r>
      <w:r w:rsidRPr="00881709">
        <w:rPr>
          <w:b/>
          <w:szCs w:val="28"/>
        </w:rPr>
        <w:t>Основной особенностью внесенного проекта бюдж</w:t>
      </w:r>
      <w:r w:rsidR="0076384D">
        <w:rPr>
          <w:b/>
          <w:szCs w:val="28"/>
        </w:rPr>
        <w:t>ета городского поселения на 2023</w:t>
      </w:r>
      <w:r w:rsidRPr="00881709">
        <w:rPr>
          <w:b/>
          <w:szCs w:val="28"/>
        </w:rPr>
        <w:t xml:space="preserve"> год является его </w:t>
      </w:r>
      <w:proofErr w:type="spellStart"/>
      <w:r w:rsidRPr="00881709">
        <w:rPr>
          <w:b/>
          <w:szCs w:val="28"/>
        </w:rPr>
        <w:t>бездефицитность</w:t>
      </w:r>
      <w:proofErr w:type="spellEnd"/>
      <w:r w:rsidRPr="00881709">
        <w:rPr>
          <w:b/>
          <w:szCs w:val="28"/>
        </w:rPr>
        <w:t xml:space="preserve">.       </w:t>
      </w:r>
    </w:p>
    <w:p w:rsidR="00D57756" w:rsidRDefault="00AD5742" w:rsidP="0013656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</w:t>
      </w:r>
      <w:r w:rsidRPr="00454FF9">
        <w:rPr>
          <w:b/>
          <w:szCs w:val="28"/>
        </w:rPr>
        <w:t xml:space="preserve">Бюджет муниципального образования </w:t>
      </w:r>
      <w:proofErr w:type="spellStart"/>
      <w:r w:rsidRPr="00454FF9">
        <w:rPr>
          <w:b/>
          <w:szCs w:val="28"/>
        </w:rPr>
        <w:t>Бесланск</w:t>
      </w:r>
      <w:r w:rsidR="0076384D">
        <w:rPr>
          <w:b/>
          <w:szCs w:val="28"/>
        </w:rPr>
        <w:t>ого</w:t>
      </w:r>
      <w:proofErr w:type="spellEnd"/>
      <w:r w:rsidR="0076384D">
        <w:rPr>
          <w:b/>
          <w:szCs w:val="28"/>
        </w:rPr>
        <w:t xml:space="preserve"> городского поселения на 2023</w:t>
      </w:r>
      <w:r>
        <w:rPr>
          <w:b/>
          <w:szCs w:val="28"/>
        </w:rPr>
        <w:t xml:space="preserve"> </w:t>
      </w:r>
      <w:r w:rsidRPr="00454FF9">
        <w:rPr>
          <w:b/>
          <w:szCs w:val="28"/>
        </w:rPr>
        <w:t>год сбалансирован.</w:t>
      </w:r>
    </w:p>
    <w:p w:rsidR="00D57756" w:rsidRDefault="00D57756" w:rsidP="00AD5742">
      <w:pPr>
        <w:jc w:val="center"/>
        <w:rPr>
          <w:b/>
          <w:szCs w:val="28"/>
        </w:rPr>
      </w:pPr>
    </w:p>
    <w:p w:rsidR="00AD5742" w:rsidRPr="001B1654" w:rsidRDefault="00AD5742" w:rsidP="00AD5742">
      <w:pPr>
        <w:jc w:val="center"/>
        <w:rPr>
          <w:b/>
          <w:szCs w:val="28"/>
        </w:rPr>
      </w:pPr>
      <w:r w:rsidRPr="001B1654">
        <w:rPr>
          <w:b/>
          <w:szCs w:val="28"/>
        </w:rPr>
        <w:t xml:space="preserve">Основные параметры бюджета МО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</w:p>
    <w:p w:rsidR="00AD5742" w:rsidRDefault="00AD5742" w:rsidP="00AD5742">
      <w:pPr>
        <w:rPr>
          <w:b/>
          <w:szCs w:val="28"/>
        </w:rPr>
      </w:pPr>
    </w:p>
    <w:p w:rsidR="00AD5742" w:rsidRPr="00EB7567" w:rsidRDefault="00AD5742" w:rsidP="00AD5742">
      <w:pPr>
        <w:jc w:val="center"/>
        <w:rPr>
          <w:szCs w:val="28"/>
        </w:rPr>
      </w:pPr>
      <w:r w:rsidRPr="00EB7567">
        <w:rPr>
          <w:szCs w:val="28"/>
        </w:rPr>
        <w:t xml:space="preserve">Таблица №1   </w:t>
      </w:r>
    </w:p>
    <w:p w:rsidR="00AD5742" w:rsidRPr="00EB7567" w:rsidRDefault="00AD5742" w:rsidP="00AD5742">
      <w:pPr>
        <w:jc w:val="center"/>
        <w:rPr>
          <w:sz w:val="20"/>
          <w:szCs w:val="20"/>
        </w:rPr>
      </w:pPr>
      <w:r>
        <w:rPr>
          <w:b/>
          <w:szCs w:val="28"/>
        </w:rPr>
        <w:t xml:space="preserve">                                                                                       </w:t>
      </w:r>
      <w:r w:rsidRPr="00EB7567">
        <w:rPr>
          <w:sz w:val="20"/>
          <w:szCs w:val="20"/>
        </w:rPr>
        <w:t>(в тыс. рублей)</w:t>
      </w:r>
    </w:p>
    <w:p w:rsidR="00AD5742" w:rsidRPr="00EB7567" w:rsidRDefault="00AD5742" w:rsidP="00AD5742">
      <w:pPr>
        <w:rPr>
          <w:sz w:val="20"/>
          <w:szCs w:val="20"/>
        </w:rPr>
      </w:pPr>
      <w:r w:rsidRPr="00EB7567">
        <w:rPr>
          <w:sz w:val="20"/>
          <w:szCs w:val="20"/>
        </w:rPr>
        <w:t xml:space="preserve">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898"/>
        <w:gridCol w:w="1559"/>
        <w:gridCol w:w="1418"/>
        <w:gridCol w:w="1701"/>
      </w:tblGrid>
      <w:tr w:rsidR="00453D43" w:rsidRPr="00EB7567" w:rsidTr="00D57756">
        <w:trPr>
          <w:trHeight w:val="836"/>
        </w:trPr>
        <w:tc>
          <w:tcPr>
            <w:tcW w:w="2888" w:type="dxa"/>
            <w:shd w:val="clear" w:color="auto" w:fill="auto"/>
          </w:tcPr>
          <w:p w:rsidR="00453D43" w:rsidRPr="00EB7567" w:rsidRDefault="00453D43" w:rsidP="00AD5742">
            <w:pPr>
              <w:jc w:val="center"/>
              <w:rPr>
                <w:szCs w:val="28"/>
              </w:rPr>
            </w:pPr>
          </w:p>
        </w:tc>
        <w:tc>
          <w:tcPr>
            <w:tcW w:w="1898" w:type="dxa"/>
            <w:shd w:val="clear" w:color="auto" w:fill="auto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отчет</w:t>
            </w:r>
          </w:p>
          <w:p w:rsidR="00453D43" w:rsidRPr="00EB7567" w:rsidRDefault="00453D43" w:rsidP="00101153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2020г</w:t>
            </w:r>
          </w:p>
        </w:tc>
        <w:tc>
          <w:tcPr>
            <w:tcW w:w="1559" w:type="dxa"/>
            <w:shd w:val="clear" w:color="auto" w:fill="auto"/>
          </w:tcPr>
          <w:p w:rsidR="00453D43" w:rsidRDefault="00101153" w:rsidP="00101153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453D43">
              <w:rPr>
                <w:szCs w:val="28"/>
              </w:rPr>
              <w:t>тчет 2021г</w:t>
            </w:r>
          </w:p>
          <w:p w:rsidR="00453D43" w:rsidRPr="00EB7567" w:rsidRDefault="00453D43" w:rsidP="0010115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уточнен</w:t>
            </w:r>
          </w:p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  <w:r w:rsidRPr="00EB7567">
              <w:rPr>
                <w:szCs w:val="28"/>
              </w:rPr>
              <w:t>г.</w:t>
            </w:r>
          </w:p>
        </w:tc>
        <w:tc>
          <w:tcPr>
            <w:tcW w:w="1701" w:type="dxa"/>
          </w:tcPr>
          <w:p w:rsidR="00453D43" w:rsidRPr="00EB7567" w:rsidRDefault="0010115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53D43">
              <w:rPr>
                <w:szCs w:val="28"/>
              </w:rPr>
              <w:t>лан 2023г.</w:t>
            </w:r>
          </w:p>
        </w:tc>
      </w:tr>
      <w:tr w:rsidR="00453D43" w:rsidRPr="00EB7567" w:rsidTr="00101153">
        <w:tc>
          <w:tcPr>
            <w:tcW w:w="2888" w:type="dxa"/>
            <w:shd w:val="clear" w:color="auto" w:fill="auto"/>
          </w:tcPr>
          <w:p w:rsidR="00453D43" w:rsidRPr="00EB7567" w:rsidRDefault="00D57756" w:rsidP="00AD57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Н</w:t>
            </w:r>
            <w:r w:rsidR="00453D43" w:rsidRPr="00EB7567">
              <w:rPr>
                <w:szCs w:val="28"/>
              </w:rPr>
              <w:t>алоговые и   неналоговые доходы</w:t>
            </w:r>
          </w:p>
        </w:tc>
        <w:tc>
          <w:tcPr>
            <w:tcW w:w="1898" w:type="dxa"/>
            <w:shd w:val="clear" w:color="auto" w:fill="auto"/>
          </w:tcPr>
          <w:p w:rsidR="00453D43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71482,6</w:t>
            </w:r>
          </w:p>
          <w:p w:rsidR="00453D43" w:rsidRPr="00EB7567" w:rsidRDefault="00453D43" w:rsidP="00101153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53D43" w:rsidRDefault="00453D43" w:rsidP="00101153">
            <w:pPr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70822,5</w:t>
            </w:r>
          </w:p>
          <w:p w:rsidR="00453D43" w:rsidRPr="00EB7567" w:rsidRDefault="00453D43" w:rsidP="0010115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73284,4</w:t>
            </w:r>
          </w:p>
        </w:tc>
        <w:tc>
          <w:tcPr>
            <w:tcW w:w="1701" w:type="dxa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74800,0</w:t>
            </w:r>
          </w:p>
        </w:tc>
      </w:tr>
      <w:tr w:rsidR="00453D43" w:rsidRPr="00EB7567" w:rsidTr="00101153">
        <w:tc>
          <w:tcPr>
            <w:tcW w:w="2888" w:type="dxa"/>
            <w:shd w:val="clear" w:color="auto" w:fill="auto"/>
          </w:tcPr>
          <w:p w:rsidR="00453D43" w:rsidRPr="00EB7567" w:rsidRDefault="00453D43" w:rsidP="00AD5742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1898" w:type="dxa"/>
            <w:shd w:val="clear" w:color="auto" w:fill="auto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2760,3</w:t>
            </w:r>
          </w:p>
        </w:tc>
        <w:tc>
          <w:tcPr>
            <w:tcW w:w="1559" w:type="dxa"/>
            <w:shd w:val="clear" w:color="auto" w:fill="auto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489,0</w:t>
            </w:r>
          </w:p>
        </w:tc>
        <w:tc>
          <w:tcPr>
            <w:tcW w:w="1418" w:type="dxa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6180,0</w:t>
            </w:r>
          </w:p>
        </w:tc>
        <w:tc>
          <w:tcPr>
            <w:tcW w:w="1701" w:type="dxa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53D43" w:rsidRPr="00EB7567" w:rsidTr="00101153">
        <w:trPr>
          <w:trHeight w:val="692"/>
        </w:trPr>
        <w:tc>
          <w:tcPr>
            <w:tcW w:w="2888" w:type="dxa"/>
            <w:shd w:val="clear" w:color="auto" w:fill="auto"/>
          </w:tcPr>
          <w:p w:rsidR="00453D43" w:rsidRPr="00EB7567" w:rsidRDefault="00453D43" w:rsidP="00AD5742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Всего доходов</w:t>
            </w:r>
          </w:p>
        </w:tc>
        <w:tc>
          <w:tcPr>
            <w:tcW w:w="1898" w:type="dxa"/>
            <w:shd w:val="clear" w:color="auto" w:fill="auto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74243,0</w:t>
            </w:r>
          </w:p>
        </w:tc>
        <w:tc>
          <w:tcPr>
            <w:tcW w:w="1559" w:type="dxa"/>
            <w:shd w:val="clear" w:color="auto" w:fill="auto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71311,5</w:t>
            </w:r>
          </w:p>
        </w:tc>
        <w:tc>
          <w:tcPr>
            <w:tcW w:w="1418" w:type="dxa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80630,0</w:t>
            </w:r>
          </w:p>
        </w:tc>
        <w:tc>
          <w:tcPr>
            <w:tcW w:w="1701" w:type="dxa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84200,0</w:t>
            </w:r>
          </w:p>
        </w:tc>
      </w:tr>
      <w:tr w:rsidR="00453D43" w:rsidRPr="00EB7567" w:rsidTr="00101153">
        <w:trPr>
          <w:trHeight w:val="692"/>
        </w:trPr>
        <w:tc>
          <w:tcPr>
            <w:tcW w:w="2888" w:type="dxa"/>
            <w:shd w:val="clear" w:color="auto" w:fill="auto"/>
          </w:tcPr>
          <w:p w:rsidR="00453D43" w:rsidRPr="00EB7567" w:rsidRDefault="00453D43" w:rsidP="00AD5742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Всего расходов</w:t>
            </w:r>
          </w:p>
        </w:tc>
        <w:tc>
          <w:tcPr>
            <w:tcW w:w="1898" w:type="dxa"/>
            <w:shd w:val="clear" w:color="auto" w:fill="auto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84297,9</w:t>
            </w:r>
          </w:p>
        </w:tc>
        <w:tc>
          <w:tcPr>
            <w:tcW w:w="1559" w:type="dxa"/>
            <w:shd w:val="clear" w:color="auto" w:fill="auto"/>
          </w:tcPr>
          <w:p w:rsidR="00101153" w:rsidRPr="00101153" w:rsidRDefault="00101153" w:rsidP="00101153">
            <w:pPr>
              <w:jc w:val="center"/>
              <w:rPr>
                <w:bCs/>
                <w:szCs w:val="28"/>
              </w:rPr>
            </w:pPr>
            <w:r w:rsidRPr="00101153">
              <w:rPr>
                <w:bCs/>
                <w:szCs w:val="28"/>
              </w:rPr>
              <w:t>82324,0</w:t>
            </w:r>
          </w:p>
          <w:p w:rsidR="00453D43" w:rsidRPr="00101153" w:rsidRDefault="00453D43" w:rsidP="0010115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453D43" w:rsidRPr="00EB7567" w:rsidRDefault="00B24EB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84600,0</w:t>
            </w:r>
          </w:p>
        </w:tc>
        <w:tc>
          <w:tcPr>
            <w:tcW w:w="1701" w:type="dxa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84200,0</w:t>
            </w:r>
          </w:p>
        </w:tc>
      </w:tr>
      <w:tr w:rsidR="00453D43" w:rsidRPr="00EB7567" w:rsidTr="00101153">
        <w:trPr>
          <w:trHeight w:val="567"/>
        </w:trPr>
        <w:tc>
          <w:tcPr>
            <w:tcW w:w="2888" w:type="dxa"/>
            <w:shd w:val="clear" w:color="auto" w:fill="auto"/>
          </w:tcPr>
          <w:p w:rsidR="00453D43" w:rsidRPr="00EB7567" w:rsidRDefault="00453D43" w:rsidP="00AD5742">
            <w:pPr>
              <w:jc w:val="center"/>
              <w:rPr>
                <w:szCs w:val="28"/>
              </w:rPr>
            </w:pPr>
            <w:r w:rsidRPr="00EB7567">
              <w:rPr>
                <w:szCs w:val="28"/>
              </w:rPr>
              <w:t>Остатки средств бюджета</w:t>
            </w:r>
          </w:p>
        </w:tc>
        <w:tc>
          <w:tcPr>
            <w:tcW w:w="1898" w:type="dxa"/>
            <w:shd w:val="clear" w:color="auto" w:fill="auto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10054,9</w:t>
            </w:r>
          </w:p>
        </w:tc>
        <w:tc>
          <w:tcPr>
            <w:tcW w:w="1559" w:type="dxa"/>
            <w:shd w:val="clear" w:color="auto" w:fill="auto"/>
          </w:tcPr>
          <w:p w:rsidR="00B24EB3" w:rsidRPr="00B24EB3" w:rsidRDefault="00B24EB3" w:rsidP="00B24EB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89</w:t>
            </w:r>
            <w:r w:rsidR="0015391B">
              <w:rPr>
                <w:bCs/>
                <w:szCs w:val="28"/>
              </w:rPr>
              <w:t>,</w:t>
            </w:r>
            <w:r w:rsidRPr="00B24EB3">
              <w:rPr>
                <w:bCs/>
                <w:szCs w:val="28"/>
              </w:rPr>
              <w:t>9</w:t>
            </w:r>
          </w:p>
          <w:p w:rsidR="00101153" w:rsidRPr="00B24EB3" w:rsidRDefault="00101153" w:rsidP="00101153">
            <w:pPr>
              <w:jc w:val="center"/>
              <w:rPr>
                <w:bCs/>
                <w:szCs w:val="28"/>
              </w:rPr>
            </w:pPr>
          </w:p>
          <w:p w:rsidR="00453D43" w:rsidRPr="00EB7567" w:rsidRDefault="00453D43" w:rsidP="00101153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</w:tcPr>
          <w:p w:rsidR="00B24EB3" w:rsidRPr="00B24EB3" w:rsidRDefault="0015391B" w:rsidP="00B24EB3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7403,4</w:t>
            </w:r>
          </w:p>
          <w:p w:rsidR="00453D43" w:rsidRPr="00EB7567" w:rsidRDefault="00453D43" w:rsidP="00101153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453D43" w:rsidRPr="00EB7567" w:rsidRDefault="00453D43" w:rsidP="00101153">
            <w:pPr>
              <w:jc w:val="center"/>
              <w:rPr>
                <w:szCs w:val="28"/>
              </w:rPr>
            </w:pPr>
          </w:p>
        </w:tc>
      </w:tr>
    </w:tbl>
    <w:p w:rsidR="00AD5742" w:rsidRPr="00EB7567" w:rsidRDefault="00AD5742" w:rsidP="00AD5742">
      <w:pPr>
        <w:jc w:val="center"/>
        <w:rPr>
          <w:sz w:val="20"/>
          <w:szCs w:val="20"/>
        </w:rPr>
      </w:pPr>
    </w:p>
    <w:p w:rsidR="00AD5742" w:rsidRPr="004577D3" w:rsidRDefault="00AD5742" w:rsidP="00AD5742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</w:t>
      </w:r>
      <w:r w:rsidRPr="004577D3">
        <w:rPr>
          <w:rFonts w:eastAsia="Times New Roman"/>
          <w:color w:val="000000"/>
          <w:szCs w:val="28"/>
          <w:lang w:eastAsia="ru-RU"/>
        </w:rPr>
        <w:t>Рассматриваемый проект решения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4577D3">
        <w:rPr>
          <w:rFonts w:eastAsia="Times New Roman"/>
          <w:color w:val="000000"/>
          <w:szCs w:val="28"/>
          <w:lang w:eastAsia="ru-RU"/>
        </w:rPr>
        <w:t>является главным финансовым документом городского поселения: предусматривает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4577D3">
        <w:rPr>
          <w:rFonts w:eastAsia="Times New Roman"/>
          <w:color w:val="000000"/>
          <w:szCs w:val="28"/>
          <w:lang w:eastAsia="ru-RU"/>
        </w:rPr>
        <w:t>финансирование на 2022</w:t>
      </w:r>
      <w:r w:rsidR="00994942">
        <w:rPr>
          <w:rFonts w:eastAsia="Times New Roman"/>
          <w:color w:val="000000"/>
          <w:szCs w:val="28"/>
          <w:lang w:eastAsia="ru-RU"/>
        </w:rPr>
        <w:t>3</w:t>
      </w:r>
      <w:r w:rsidRPr="004577D3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год </w:t>
      </w:r>
      <w:r w:rsidRPr="004577D3">
        <w:rPr>
          <w:rFonts w:eastAsia="Times New Roman"/>
          <w:color w:val="000000"/>
          <w:szCs w:val="28"/>
          <w:lang w:eastAsia="ru-RU"/>
        </w:rPr>
        <w:t>жизненно важных направлений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4577D3">
        <w:rPr>
          <w:rFonts w:eastAsia="Times New Roman"/>
          <w:color w:val="000000"/>
          <w:szCs w:val="28"/>
          <w:lang w:eastAsia="ru-RU"/>
        </w:rPr>
        <w:t xml:space="preserve">социальной и экономической сфер, </w:t>
      </w:r>
      <w:r>
        <w:rPr>
          <w:rFonts w:eastAsia="Times New Roman"/>
          <w:color w:val="000000"/>
          <w:szCs w:val="28"/>
          <w:lang w:eastAsia="ru-RU"/>
        </w:rPr>
        <w:t>деятельности в сфере ЖКХ</w:t>
      </w:r>
      <w:r w:rsidRPr="004577D3">
        <w:rPr>
          <w:rFonts w:eastAsia="Times New Roman"/>
          <w:color w:val="000000"/>
          <w:szCs w:val="28"/>
          <w:lang w:eastAsia="ru-RU"/>
        </w:rPr>
        <w:t xml:space="preserve"> и других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4577D3">
        <w:rPr>
          <w:rFonts w:eastAsia="Times New Roman"/>
          <w:color w:val="000000"/>
          <w:szCs w:val="28"/>
          <w:lang w:eastAsia="ru-RU"/>
        </w:rPr>
        <w:t xml:space="preserve">направлений. </w:t>
      </w:r>
    </w:p>
    <w:p w:rsidR="00AD5742" w:rsidRDefault="00AD5742" w:rsidP="00AD5742">
      <w:pPr>
        <w:jc w:val="center"/>
        <w:rPr>
          <w:b/>
          <w:szCs w:val="28"/>
        </w:rPr>
      </w:pPr>
      <w:bookmarkStart w:id="0" w:name="_GoBack"/>
      <w:bookmarkEnd w:id="0"/>
    </w:p>
    <w:p w:rsidR="00AD5742" w:rsidRDefault="00AD5742" w:rsidP="00AD5742">
      <w:pPr>
        <w:jc w:val="center"/>
        <w:rPr>
          <w:b/>
          <w:szCs w:val="28"/>
        </w:rPr>
      </w:pPr>
    </w:p>
    <w:p w:rsidR="00AD5742" w:rsidRDefault="000D6BB2" w:rsidP="00AD5742">
      <w:pPr>
        <w:jc w:val="center"/>
        <w:rPr>
          <w:szCs w:val="28"/>
        </w:rPr>
      </w:pPr>
      <w:r>
        <w:rPr>
          <w:b/>
          <w:szCs w:val="28"/>
        </w:rPr>
        <w:t>Доходы бюджета на 20</w:t>
      </w:r>
      <w:r w:rsidR="00AD5742">
        <w:rPr>
          <w:b/>
          <w:szCs w:val="28"/>
        </w:rPr>
        <w:t>2</w:t>
      </w:r>
      <w:r>
        <w:rPr>
          <w:b/>
          <w:szCs w:val="28"/>
        </w:rPr>
        <w:t>3</w:t>
      </w:r>
      <w:r w:rsidR="00AD5742">
        <w:rPr>
          <w:b/>
          <w:szCs w:val="28"/>
        </w:rPr>
        <w:t xml:space="preserve"> год.</w:t>
      </w:r>
      <w:r w:rsidR="00AD5742">
        <w:rPr>
          <w:szCs w:val="28"/>
        </w:rPr>
        <w:t xml:space="preserve">           </w:t>
      </w:r>
    </w:p>
    <w:p w:rsidR="00AD5742" w:rsidRDefault="00AD5742" w:rsidP="00AD5742">
      <w:pPr>
        <w:jc w:val="both"/>
        <w:rPr>
          <w:szCs w:val="28"/>
        </w:rPr>
      </w:pPr>
    </w:p>
    <w:p w:rsidR="00AD5742" w:rsidRDefault="00AD5742" w:rsidP="00AD5742">
      <w:pPr>
        <w:jc w:val="both"/>
        <w:rPr>
          <w:szCs w:val="28"/>
        </w:rPr>
      </w:pPr>
      <w:r w:rsidRPr="005850A2">
        <w:rPr>
          <w:b/>
          <w:szCs w:val="28"/>
        </w:rPr>
        <w:t xml:space="preserve">  </w:t>
      </w:r>
      <w:r w:rsidRPr="005850A2">
        <w:rPr>
          <w:rFonts w:eastAsia="Times New Roman"/>
          <w:szCs w:val="28"/>
          <w:bdr w:val="none" w:sz="0" w:space="0" w:color="auto" w:frame="1"/>
          <w:lang w:eastAsia="ru-RU"/>
        </w:rPr>
        <w:t xml:space="preserve">           Структура  доходной части бюджета на </w:t>
      </w:r>
      <w:r w:rsidR="000D6BB2">
        <w:rPr>
          <w:rFonts w:eastAsia="Times New Roman"/>
          <w:szCs w:val="28"/>
          <w:bdr w:val="none" w:sz="0" w:space="0" w:color="auto" w:frame="1"/>
          <w:lang w:eastAsia="ru-RU"/>
        </w:rPr>
        <w:t>2023 год в сравнении с 2020-2022</w:t>
      </w:r>
      <w:r w:rsidRPr="005850A2">
        <w:rPr>
          <w:rFonts w:eastAsia="Times New Roman"/>
          <w:szCs w:val="28"/>
          <w:bdr w:val="none" w:sz="0" w:space="0" w:color="auto" w:frame="1"/>
          <w:lang w:eastAsia="ru-RU"/>
        </w:rPr>
        <w:t xml:space="preserve">  годами представлена в </w:t>
      </w:r>
      <w:r>
        <w:rPr>
          <w:rFonts w:eastAsia="Times New Roman"/>
          <w:szCs w:val="28"/>
          <w:bdr w:val="none" w:sz="0" w:space="0" w:color="auto" w:frame="1"/>
          <w:lang w:eastAsia="ru-RU"/>
        </w:rPr>
        <w:t>Таблице № 2</w:t>
      </w:r>
      <w:r w:rsidRPr="005850A2">
        <w:rPr>
          <w:rFonts w:eastAsia="Times New Roman"/>
          <w:szCs w:val="28"/>
          <w:bdr w:val="none" w:sz="0" w:space="0" w:color="auto" w:frame="1"/>
          <w:lang w:eastAsia="ru-RU"/>
        </w:rPr>
        <w:t>.</w:t>
      </w:r>
      <w:r w:rsidRPr="00DF4FCD">
        <w:rPr>
          <w:b/>
          <w:szCs w:val="28"/>
        </w:rPr>
        <w:t xml:space="preserve"> </w:t>
      </w:r>
    </w:p>
    <w:p w:rsidR="00AD5742" w:rsidRDefault="00AD5742" w:rsidP="00AD5742">
      <w:pPr>
        <w:jc w:val="center"/>
        <w:rPr>
          <w:szCs w:val="28"/>
        </w:rPr>
      </w:pPr>
    </w:p>
    <w:p w:rsidR="00AD5742" w:rsidRPr="00EB7567" w:rsidRDefault="00AD5742" w:rsidP="00AD5742">
      <w:pPr>
        <w:jc w:val="center"/>
        <w:rPr>
          <w:szCs w:val="28"/>
        </w:rPr>
      </w:pPr>
      <w:r>
        <w:rPr>
          <w:szCs w:val="28"/>
        </w:rPr>
        <w:t>Таблица №2</w:t>
      </w:r>
      <w:r w:rsidRPr="00EB7567">
        <w:rPr>
          <w:szCs w:val="28"/>
        </w:rPr>
        <w:t xml:space="preserve">   </w:t>
      </w:r>
    </w:p>
    <w:p w:rsidR="00AD5742" w:rsidRDefault="00AD5742" w:rsidP="00AD5742">
      <w:pPr>
        <w:jc w:val="center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    </w:t>
      </w:r>
      <w:r w:rsidRPr="00EB7567">
        <w:rPr>
          <w:sz w:val="20"/>
          <w:szCs w:val="20"/>
        </w:rPr>
        <w:t>(в тыс. рублей)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276"/>
        <w:gridCol w:w="1134"/>
        <w:gridCol w:w="1134"/>
        <w:gridCol w:w="1134"/>
      </w:tblGrid>
      <w:tr w:rsidR="00AE4874" w:rsidRPr="00960AF6" w:rsidTr="00B962ED">
        <w:trPr>
          <w:trHeight w:val="14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874" w:rsidRPr="00451369" w:rsidRDefault="00AE4874" w:rsidP="00AD5742">
            <w:pPr>
              <w:spacing w:after="200" w:line="276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 w:rsidRPr="00451369">
              <w:rPr>
                <w:rFonts w:eastAsia="Times New Roman"/>
                <w:bCs/>
                <w:sz w:val="22"/>
                <w:lang w:eastAsia="ru-RU"/>
              </w:rPr>
              <w:t>Исполн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  <w:r w:rsidRPr="00451369">
              <w:rPr>
                <w:rFonts w:eastAsia="Times New Roman"/>
                <w:bCs/>
                <w:sz w:val="22"/>
                <w:lang w:eastAsia="ru-RU"/>
              </w:rPr>
              <w:t xml:space="preserve"> за 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874" w:rsidRDefault="00AE4874" w:rsidP="00AD5742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sz w:val="22"/>
                <w:lang w:eastAsia="ru-RU"/>
              </w:rPr>
              <w:t>Исполн</w:t>
            </w:r>
            <w:proofErr w:type="spellEnd"/>
            <w:r>
              <w:rPr>
                <w:rFonts w:eastAsia="Times New Roman"/>
                <w:bCs/>
                <w:sz w:val="22"/>
                <w:lang w:eastAsia="ru-RU"/>
              </w:rPr>
              <w:t>. 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Уточнен</w:t>
            </w:r>
            <w:proofErr w:type="gramStart"/>
            <w:r>
              <w:rPr>
                <w:rFonts w:eastAsia="Times New Roman"/>
                <w:bCs/>
                <w:sz w:val="22"/>
                <w:lang w:eastAsia="ru-RU"/>
              </w:rPr>
              <w:t>.</w:t>
            </w:r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sz w:val="22"/>
                <w:lang w:eastAsia="ru-RU"/>
              </w:rPr>
              <w:t>п</w:t>
            </w:r>
            <w:proofErr w:type="gramEnd"/>
            <w:r>
              <w:rPr>
                <w:rFonts w:eastAsia="Times New Roman"/>
                <w:bCs/>
                <w:sz w:val="22"/>
                <w:lang w:eastAsia="ru-RU"/>
              </w:rPr>
              <w:t>лан на 2022</w:t>
            </w:r>
            <w:r w:rsidRPr="00451369">
              <w:rPr>
                <w:rFonts w:eastAsia="Times New Roman"/>
                <w:bCs/>
                <w:sz w:val="22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874" w:rsidRPr="00451369" w:rsidRDefault="00AE4874" w:rsidP="000D6BB2">
            <w:pPr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П</w:t>
            </w:r>
            <w:r w:rsidRPr="00451369">
              <w:rPr>
                <w:rFonts w:eastAsia="Times New Roman"/>
                <w:bCs/>
                <w:sz w:val="22"/>
                <w:lang w:eastAsia="ru-RU"/>
              </w:rPr>
              <w:t>лан на 202</w:t>
            </w:r>
            <w:r>
              <w:rPr>
                <w:rFonts w:eastAsia="Times New Roman"/>
                <w:bCs/>
                <w:sz w:val="22"/>
                <w:lang w:eastAsia="ru-RU"/>
              </w:rPr>
              <w:t>3</w:t>
            </w:r>
            <w:r w:rsidRPr="00451369">
              <w:rPr>
                <w:rFonts w:eastAsia="Times New Roman"/>
                <w:bCs/>
                <w:sz w:val="22"/>
                <w:lang w:eastAsia="ru-RU"/>
              </w:rPr>
              <w:t>г</w:t>
            </w:r>
          </w:p>
        </w:tc>
      </w:tr>
      <w:tr w:rsidR="00AE4874" w:rsidRPr="00451369" w:rsidTr="00B962ED">
        <w:trPr>
          <w:trHeight w:val="6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752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Доходы бюджета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74243,</w:t>
            </w:r>
            <w:r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71311,5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80630,0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84200,0</w:t>
            </w:r>
          </w:p>
        </w:tc>
      </w:tr>
      <w:tr w:rsidR="00AE4874" w:rsidRPr="00451369" w:rsidTr="00B962ED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752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Налоговые и неналоговые  доходы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71482,</w:t>
            </w:r>
            <w:r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70822,5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73284,4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84200,0</w:t>
            </w:r>
          </w:p>
        </w:tc>
      </w:tr>
      <w:tr w:rsidR="00AE4874" w:rsidRPr="00451369" w:rsidTr="00B962ED">
        <w:trPr>
          <w:trHeight w:val="6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0752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Налоговые  доходы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68622,8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65243,3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69100,0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8B5972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74800,0</w:t>
            </w:r>
          </w:p>
        </w:tc>
      </w:tr>
      <w:tr w:rsidR="00AE4874" w:rsidRPr="00451369" w:rsidTr="00B962ED">
        <w:trPr>
          <w:trHeight w:val="5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30262,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31269,2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31800,0</w:t>
            </w:r>
          </w:p>
        </w:tc>
      </w:tr>
      <w:tr w:rsidR="00AE4874" w:rsidRPr="00451369" w:rsidTr="00B962ED">
        <w:trPr>
          <w:trHeight w:val="7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874" w:rsidRPr="00451369" w:rsidRDefault="00AE4874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7359,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12359,4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11500,0</w:t>
            </w:r>
          </w:p>
        </w:tc>
      </w:tr>
      <w:tr w:rsidR="00AE4874" w:rsidRPr="00451369" w:rsidTr="00B962ED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AE4874" w:rsidRPr="00451369" w:rsidTr="00B962ED">
        <w:trPr>
          <w:trHeight w:val="8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874" w:rsidRPr="00451369" w:rsidRDefault="00AE4874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Налог на имущество физических лиц, взимаемый по </w:t>
            </w:r>
            <w:proofErr w:type="gramStart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ставкам</w:t>
            </w:r>
            <w:proofErr w:type="gramEnd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 применяемым к объектам налогообложения, расположенных в границах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067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2234,5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AE4874" w:rsidRPr="00451369" w:rsidTr="00B962ED">
        <w:trPr>
          <w:trHeight w:val="11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874" w:rsidRPr="00451369" w:rsidRDefault="00AE4874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Земельный налог, взимаемый по ставкам установленным в соответствии с п.1 </w:t>
            </w:r>
            <w:proofErr w:type="spellStart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п.1</w:t>
            </w:r>
            <w:proofErr w:type="spellEnd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 ст.394 НК</w:t>
            </w:r>
            <w:proofErr w:type="gramStart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Ф и применяемым к объектам налогообложения, расположенных в границах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8198,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7091,5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6000,0</w:t>
            </w:r>
          </w:p>
        </w:tc>
      </w:tr>
      <w:tr w:rsidR="00AE4874" w:rsidRPr="00451369" w:rsidTr="00B962ED">
        <w:trPr>
          <w:trHeight w:val="11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874" w:rsidRPr="00451369" w:rsidRDefault="00AE4874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Земельный налог, взимаемый по ставкам установленным в соответствии с п.2 п.1 ст.394 НК</w:t>
            </w:r>
            <w:proofErr w:type="gramStart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Ф и применяемым к объектам налогообложения, расположенных в границах поселений.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334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11916,3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23000,0</w:t>
            </w:r>
          </w:p>
        </w:tc>
      </w:tr>
      <w:tr w:rsidR="00AE4874" w:rsidRPr="00451369" w:rsidTr="00B962ED">
        <w:trPr>
          <w:trHeight w:val="5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Задолженность по отмененным налогам и сборам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E4874" w:rsidRPr="00451369" w:rsidTr="00B962ED">
        <w:trPr>
          <w:trHeight w:val="5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Неналоговые  доходы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5579,1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874" w:rsidRPr="00451369" w:rsidRDefault="00AE4874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8B5972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9400,0</w:t>
            </w:r>
          </w:p>
        </w:tc>
      </w:tr>
      <w:tr w:rsidR="00AE4874" w:rsidRPr="00451369" w:rsidTr="00B962ED">
        <w:trPr>
          <w:trHeight w:val="16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4874" w:rsidRPr="00451369" w:rsidRDefault="00AE4874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</w:t>
            </w:r>
            <w:r w:rsidR="00084DEE">
              <w:rPr>
                <w:rFonts w:eastAsia="Times New Roman"/>
                <w:sz w:val="20"/>
                <w:szCs w:val="20"/>
                <w:lang w:eastAsia="ru-RU"/>
              </w:rPr>
              <w:t xml:space="preserve">не разграничена,  и которые  </w:t>
            </w: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расположены в границах поселений, а также средств от продажи права на заключение договоров аренды указанных земельных участков.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5863,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E4874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4346,1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4874" w:rsidRPr="00451369" w:rsidRDefault="00AE4874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7000,0</w:t>
            </w:r>
          </w:p>
        </w:tc>
      </w:tr>
      <w:tr w:rsidR="00B962ED" w:rsidRPr="00451369" w:rsidTr="00B962ED">
        <w:trPr>
          <w:trHeight w:val="17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2ED" w:rsidRPr="00451369" w:rsidRDefault="00B962ED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Доходы,   от сдачи в аренду имущества, нах-</w:t>
            </w:r>
            <w:proofErr w:type="spellStart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 в оперативном управлении органов управления муниципальных районов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B962ED" w:rsidRPr="00451369" w:rsidTr="00B962ED">
        <w:trPr>
          <w:trHeight w:val="11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Доходы      от      продажи      земельных     участков,      </w:t>
            </w:r>
            <w:proofErr w:type="gramStart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гос.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обственность</w:t>
            </w:r>
            <w:proofErr w:type="gramEnd"/>
            <w:r w:rsidRPr="00451369">
              <w:rPr>
                <w:rFonts w:eastAsia="Times New Roman"/>
                <w:sz w:val="20"/>
                <w:szCs w:val="20"/>
                <w:lang w:eastAsia="ru-RU"/>
              </w:rPr>
              <w:t xml:space="preserve">        на    которые         не    разграничена    и расположена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493,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1101,4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274F4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1750,0</w:t>
            </w:r>
          </w:p>
        </w:tc>
      </w:tr>
      <w:tr w:rsidR="00B962ED" w:rsidRPr="00451369" w:rsidTr="00B962ED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-3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49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6,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962ED" w:rsidRPr="00451369" w:rsidTr="00B962E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962ED" w:rsidRPr="00451369" w:rsidTr="00B962ED">
        <w:trPr>
          <w:trHeight w:val="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2760,</w:t>
            </w:r>
            <w:r w:rsidRPr="0045136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2ED" w:rsidRDefault="00B962ED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:rsidR="00B962ED" w:rsidRDefault="00B962ED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ED" w:rsidRPr="00451369" w:rsidRDefault="00B962ED" w:rsidP="004B5017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ED" w:rsidRPr="00451369" w:rsidRDefault="00B962ED" w:rsidP="00AD5742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962ED" w:rsidRPr="00451369" w:rsidTr="00B962ED">
        <w:trPr>
          <w:trHeight w:val="7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390,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2ED" w:rsidRPr="00451369" w:rsidTr="00B962ED">
        <w:trPr>
          <w:trHeight w:val="5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Субвенции из республиканского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2ED" w:rsidRPr="00451369" w:rsidTr="00B962ED">
        <w:trPr>
          <w:trHeight w:val="8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2ED" w:rsidRPr="00451369" w:rsidRDefault="00B962ED" w:rsidP="00422BC7">
            <w:pPr>
              <w:spacing w:before="240" w:after="240"/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422BC7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2350,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2ED" w:rsidRPr="00451369" w:rsidRDefault="00B962ED" w:rsidP="00422BC7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ED" w:rsidRPr="00451369" w:rsidRDefault="00B962ED" w:rsidP="00422BC7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2ED" w:rsidRPr="00451369" w:rsidRDefault="00B962ED" w:rsidP="00422BC7">
            <w:pPr>
              <w:spacing w:before="240" w:after="2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B962ED" w:rsidRPr="00451369" w:rsidTr="00422BC7">
        <w:trPr>
          <w:trHeight w:val="11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62ED" w:rsidRPr="00451369" w:rsidRDefault="00B962ED" w:rsidP="00AD5742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1369">
              <w:rPr>
                <w:rFonts w:eastAsia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20,</w:t>
            </w:r>
            <w:r w:rsidRPr="00451369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62ED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62ED" w:rsidRPr="00451369" w:rsidRDefault="00B962ED" w:rsidP="00AD574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2ED" w:rsidRPr="00451369" w:rsidRDefault="00B962ED" w:rsidP="00AD574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5742" w:rsidRDefault="00AD5742" w:rsidP="00AD5742">
      <w:pPr>
        <w:jc w:val="both"/>
        <w:rPr>
          <w:rFonts w:eastAsia="Times New Roman"/>
          <w:color w:val="3D3D3D"/>
          <w:szCs w:val="28"/>
          <w:bdr w:val="none" w:sz="0" w:space="0" w:color="auto" w:frame="1"/>
          <w:lang w:eastAsia="ru-RU"/>
        </w:rPr>
      </w:pPr>
    </w:p>
    <w:p w:rsidR="00AD5742" w:rsidRPr="00EB7567" w:rsidRDefault="00AD5742" w:rsidP="00AD5742">
      <w:pPr>
        <w:jc w:val="both"/>
        <w:rPr>
          <w:szCs w:val="28"/>
        </w:rPr>
      </w:pPr>
      <w:r w:rsidRPr="00EB7567">
        <w:rPr>
          <w:rFonts w:eastAsia="Times New Roman"/>
          <w:szCs w:val="28"/>
          <w:bdr w:val="none" w:sz="0" w:space="0" w:color="auto" w:frame="1"/>
          <w:lang w:eastAsia="ru-RU"/>
        </w:rPr>
        <w:lastRenderedPageBreak/>
        <w:t xml:space="preserve">             </w:t>
      </w:r>
      <w:proofErr w:type="gramStart"/>
      <w:r w:rsidRPr="00EB7567">
        <w:rPr>
          <w:rFonts w:eastAsia="Times New Roman"/>
          <w:szCs w:val="28"/>
          <w:bdr w:val="none" w:sz="0" w:space="0" w:color="auto" w:frame="1"/>
          <w:lang w:eastAsia="ru-RU"/>
        </w:rPr>
        <w:t>Как видно из таблицы №2</w:t>
      </w:r>
      <w:r w:rsidR="00084DEE">
        <w:rPr>
          <w:rFonts w:eastAsia="Times New Roman"/>
          <w:szCs w:val="28"/>
          <w:bdr w:val="none" w:sz="0" w:space="0" w:color="auto" w:frame="1"/>
          <w:lang w:eastAsia="ru-RU"/>
        </w:rPr>
        <w:t xml:space="preserve">, </w:t>
      </w:r>
      <w:r w:rsidRPr="00EB7567">
        <w:rPr>
          <w:rFonts w:eastAsia="Times New Roman"/>
          <w:szCs w:val="28"/>
          <w:bdr w:val="none" w:sz="0" w:space="0" w:color="auto" w:frame="1"/>
          <w:lang w:eastAsia="ru-RU"/>
        </w:rPr>
        <w:t xml:space="preserve"> в</w:t>
      </w:r>
      <w:r w:rsidRPr="00EB7567">
        <w:rPr>
          <w:szCs w:val="28"/>
        </w:rPr>
        <w:t xml:space="preserve"> структуре доходов бюджета налогов</w:t>
      </w:r>
      <w:r>
        <w:rPr>
          <w:szCs w:val="28"/>
        </w:rPr>
        <w:t>ые и неналоговые  доходы на 202</w:t>
      </w:r>
      <w:r w:rsidR="004B5017">
        <w:rPr>
          <w:szCs w:val="28"/>
        </w:rPr>
        <w:t>3</w:t>
      </w:r>
      <w:r w:rsidRPr="00EB7567">
        <w:rPr>
          <w:szCs w:val="28"/>
        </w:rPr>
        <w:t xml:space="preserve"> год прогнозируются в сумме </w:t>
      </w:r>
      <w:r w:rsidR="004B5017">
        <w:t>84200,0</w:t>
      </w:r>
      <w:r w:rsidRPr="00EB7567">
        <w:t xml:space="preserve"> </w:t>
      </w:r>
      <w:r>
        <w:rPr>
          <w:szCs w:val="28"/>
        </w:rPr>
        <w:t>тыс. руб. По сравн</w:t>
      </w:r>
      <w:r w:rsidR="004B5017">
        <w:rPr>
          <w:szCs w:val="28"/>
        </w:rPr>
        <w:t>ению с уточненным планом на 2022</w:t>
      </w:r>
      <w:r w:rsidRPr="00EB7567">
        <w:rPr>
          <w:szCs w:val="28"/>
        </w:rPr>
        <w:t xml:space="preserve"> год</w:t>
      </w:r>
      <w:r w:rsidR="004B5017">
        <w:rPr>
          <w:szCs w:val="28"/>
        </w:rPr>
        <w:t xml:space="preserve"> прогнозируется  увеличение </w:t>
      </w:r>
      <w:r>
        <w:rPr>
          <w:szCs w:val="28"/>
        </w:rPr>
        <w:t xml:space="preserve">налоговых и неналоговых доходов </w:t>
      </w:r>
      <w:r w:rsidRPr="00EB7567">
        <w:rPr>
          <w:szCs w:val="28"/>
        </w:rPr>
        <w:t xml:space="preserve">на  </w:t>
      </w:r>
      <w:r w:rsidR="004B5017">
        <w:rPr>
          <w:szCs w:val="28"/>
        </w:rPr>
        <w:t>10915,6</w:t>
      </w:r>
      <w:r w:rsidRPr="00EB7567">
        <w:rPr>
          <w:szCs w:val="28"/>
        </w:rPr>
        <w:t xml:space="preserve"> тыс. руб. или </w:t>
      </w:r>
      <w:r w:rsidR="004B5017">
        <w:rPr>
          <w:szCs w:val="28"/>
        </w:rPr>
        <w:t>14</w:t>
      </w:r>
      <w:r>
        <w:rPr>
          <w:szCs w:val="28"/>
        </w:rPr>
        <w:t>,8</w:t>
      </w:r>
      <w:r w:rsidRPr="00EB7567">
        <w:rPr>
          <w:szCs w:val="28"/>
        </w:rPr>
        <w:t>%</w:t>
      </w:r>
      <w:r w:rsidR="008B5972">
        <w:rPr>
          <w:szCs w:val="28"/>
        </w:rPr>
        <w:t>, за счет увеличения доходов</w:t>
      </w:r>
      <w:r w:rsidR="008B5972" w:rsidRPr="00EB7567">
        <w:rPr>
          <w:szCs w:val="28"/>
        </w:rPr>
        <w:t xml:space="preserve"> физических лиц</w:t>
      </w:r>
      <w:r w:rsidR="008B5972">
        <w:rPr>
          <w:szCs w:val="28"/>
        </w:rPr>
        <w:t>, налогов</w:t>
      </w:r>
      <w:r w:rsidR="008B5972" w:rsidRPr="00EB7567">
        <w:rPr>
          <w:szCs w:val="28"/>
        </w:rPr>
        <w:t xml:space="preserve"> на совокупный доход</w:t>
      </w:r>
      <w:r w:rsidR="00084DEE">
        <w:rPr>
          <w:szCs w:val="28"/>
        </w:rPr>
        <w:t xml:space="preserve">, а также </w:t>
      </w:r>
      <w:r w:rsidR="00084DEE">
        <w:rPr>
          <w:rFonts w:eastAsia="Times New Roman"/>
          <w:szCs w:val="28"/>
          <w:lang w:eastAsia="ru-RU"/>
        </w:rPr>
        <w:t>доходов, получаемых</w:t>
      </w:r>
      <w:r w:rsidR="00084DEE" w:rsidRPr="00084DEE">
        <w:rPr>
          <w:rFonts w:eastAsia="Times New Roman"/>
          <w:szCs w:val="28"/>
          <w:lang w:eastAsia="ru-RU"/>
        </w:rPr>
        <w:t xml:space="preserve"> в виде арендной платы</w:t>
      </w:r>
      <w:proofErr w:type="gramEnd"/>
      <w:r w:rsidR="00084DEE" w:rsidRPr="00084DEE">
        <w:rPr>
          <w:rFonts w:eastAsia="Times New Roman"/>
          <w:szCs w:val="28"/>
          <w:lang w:eastAsia="ru-RU"/>
        </w:rPr>
        <w:t xml:space="preserve"> за земельные участки, государственная собственность на которые</w:t>
      </w:r>
      <w:r w:rsidR="00084DEE">
        <w:rPr>
          <w:rFonts w:eastAsia="Times New Roman"/>
          <w:szCs w:val="28"/>
          <w:lang w:eastAsia="ru-RU"/>
        </w:rPr>
        <w:t xml:space="preserve"> не разграничена, и которые</w:t>
      </w:r>
      <w:r w:rsidR="00084DEE" w:rsidRPr="00084DEE">
        <w:rPr>
          <w:rFonts w:eastAsia="Times New Roman"/>
          <w:szCs w:val="28"/>
          <w:lang w:eastAsia="ru-RU"/>
        </w:rPr>
        <w:t xml:space="preserve"> расположены в границах поселений, а также средств от продажи права на заключение договоров аренды указанных земельных участков.</w:t>
      </w:r>
    </w:p>
    <w:p w:rsidR="00AD5742" w:rsidRPr="00EB7567" w:rsidRDefault="00AD5742" w:rsidP="00AD5742">
      <w:pPr>
        <w:jc w:val="both"/>
      </w:pPr>
      <w:r w:rsidRPr="00EB7567">
        <w:rPr>
          <w:szCs w:val="28"/>
        </w:rPr>
        <w:t xml:space="preserve">              Основными доходными источниками  бюджета являются налог на имущество - </w:t>
      </w:r>
      <w:r>
        <w:rPr>
          <w:szCs w:val="28"/>
        </w:rPr>
        <w:t>311</w:t>
      </w:r>
      <w:r w:rsidRPr="00EB7567">
        <w:rPr>
          <w:szCs w:val="28"/>
        </w:rPr>
        <w:t>00,0 тыс. руб.  и налог на доходы физических лиц</w:t>
      </w:r>
      <w:r>
        <w:rPr>
          <w:szCs w:val="28"/>
        </w:rPr>
        <w:t xml:space="preserve"> -</w:t>
      </w:r>
      <w:r w:rsidRPr="00EB7567">
        <w:rPr>
          <w:szCs w:val="28"/>
        </w:rPr>
        <w:t xml:space="preserve">  определен в сумме </w:t>
      </w:r>
      <w:r w:rsidR="008F0399">
        <w:rPr>
          <w:szCs w:val="28"/>
        </w:rPr>
        <w:t>–</w:t>
      </w:r>
      <w:r>
        <w:rPr>
          <w:szCs w:val="28"/>
        </w:rPr>
        <w:t xml:space="preserve"> </w:t>
      </w:r>
      <w:r w:rsidR="008F0399">
        <w:t>31800,0</w:t>
      </w:r>
      <w:r w:rsidRPr="00EB7567">
        <w:t xml:space="preserve"> </w:t>
      </w:r>
      <w:r w:rsidRPr="00EB7567">
        <w:rPr>
          <w:szCs w:val="28"/>
        </w:rPr>
        <w:t xml:space="preserve">тыс. руб. </w:t>
      </w:r>
    </w:p>
    <w:p w:rsidR="00AD5742" w:rsidRPr="00EB7567" w:rsidRDefault="00AD5742" w:rsidP="00AD5742">
      <w:pPr>
        <w:jc w:val="both"/>
        <w:rPr>
          <w:szCs w:val="28"/>
        </w:rPr>
      </w:pPr>
      <w:r w:rsidRPr="00EB7567">
        <w:rPr>
          <w:szCs w:val="28"/>
        </w:rPr>
        <w:t xml:space="preserve">              Налоги на совокупный доход прогнозируются в сумме </w:t>
      </w:r>
      <w:r w:rsidR="008F0399">
        <w:rPr>
          <w:szCs w:val="28"/>
        </w:rPr>
        <w:t>12</w:t>
      </w:r>
      <w:r>
        <w:t>0</w:t>
      </w:r>
      <w:r w:rsidRPr="00EB7567">
        <w:t>00,0</w:t>
      </w:r>
      <w:r w:rsidRPr="00EB7567">
        <w:rPr>
          <w:szCs w:val="28"/>
        </w:rPr>
        <w:t xml:space="preserve">тыс. руб.    </w:t>
      </w:r>
    </w:p>
    <w:p w:rsidR="00AD5742" w:rsidRDefault="00AD5742" w:rsidP="00AD5742">
      <w:pPr>
        <w:jc w:val="both"/>
        <w:rPr>
          <w:szCs w:val="28"/>
        </w:rPr>
      </w:pPr>
      <w:r>
        <w:rPr>
          <w:szCs w:val="28"/>
        </w:rPr>
        <w:t xml:space="preserve">            </w:t>
      </w:r>
      <w:r w:rsidRPr="00EB7567">
        <w:rPr>
          <w:szCs w:val="28"/>
        </w:rPr>
        <w:t>Объемным доходным источником бюджета является земельный</w:t>
      </w:r>
      <w:r w:rsidRPr="00966DA4">
        <w:rPr>
          <w:szCs w:val="28"/>
        </w:rPr>
        <w:t xml:space="preserve"> налог с организаций, обладающих земельными участками, расположенными в границах городского поселения – 2</w:t>
      </w:r>
      <w:r w:rsidR="008F0399">
        <w:rPr>
          <w:szCs w:val="28"/>
        </w:rPr>
        <w:t>3</w:t>
      </w:r>
      <w:r>
        <w:rPr>
          <w:szCs w:val="28"/>
        </w:rPr>
        <w:t>0</w:t>
      </w:r>
      <w:r w:rsidRPr="00966DA4">
        <w:rPr>
          <w:szCs w:val="28"/>
        </w:rPr>
        <w:t xml:space="preserve">00,0 </w:t>
      </w:r>
      <w:proofErr w:type="spellStart"/>
      <w:r w:rsidRPr="00966DA4">
        <w:rPr>
          <w:szCs w:val="28"/>
        </w:rPr>
        <w:t>тыс</w:t>
      </w:r>
      <w:proofErr w:type="gramStart"/>
      <w:r w:rsidRPr="00966DA4">
        <w:rPr>
          <w:szCs w:val="28"/>
        </w:rPr>
        <w:t>.р</w:t>
      </w:r>
      <w:proofErr w:type="gramEnd"/>
      <w:r w:rsidRPr="00966DA4">
        <w:rPr>
          <w:szCs w:val="28"/>
        </w:rPr>
        <w:t>уб</w:t>
      </w:r>
      <w:proofErr w:type="spellEnd"/>
      <w:r w:rsidRPr="00966DA4">
        <w:rPr>
          <w:szCs w:val="28"/>
        </w:rPr>
        <w:t>, и с физических лиц, обладающих земельными участками, расположенными в гр</w:t>
      </w:r>
      <w:r w:rsidR="008F0399">
        <w:rPr>
          <w:szCs w:val="28"/>
        </w:rPr>
        <w:t>аницах городского поселения - 60</w:t>
      </w:r>
      <w:r w:rsidRPr="00966DA4">
        <w:rPr>
          <w:szCs w:val="28"/>
        </w:rPr>
        <w:t xml:space="preserve">00,0 тыс. руб. </w:t>
      </w:r>
    </w:p>
    <w:p w:rsidR="00AD5742" w:rsidRPr="00966DA4" w:rsidRDefault="00AD5742" w:rsidP="00AD5742">
      <w:pPr>
        <w:jc w:val="both"/>
        <w:rPr>
          <w:szCs w:val="28"/>
        </w:rPr>
      </w:pPr>
    </w:p>
    <w:p w:rsidR="00AD5742" w:rsidRDefault="00AD5742" w:rsidP="00AD5742">
      <w:pPr>
        <w:shd w:val="clear" w:color="auto" w:fill="FFFFFF"/>
        <w:tabs>
          <w:tab w:val="left" w:pos="0"/>
        </w:tabs>
        <w:ind w:firstLine="709"/>
        <w:jc w:val="both"/>
        <w:rPr>
          <w:szCs w:val="28"/>
        </w:rPr>
      </w:pPr>
      <w:r w:rsidRPr="00966DA4">
        <w:rPr>
          <w:szCs w:val="28"/>
        </w:rPr>
        <w:t xml:space="preserve">Доходы от использования имущества, находящегося в государственной и муниципальной собственности, прогнозируются в сумме  </w:t>
      </w:r>
      <w:r w:rsidR="00084DEE">
        <w:t xml:space="preserve">7500,0 </w:t>
      </w:r>
      <w:r w:rsidRPr="00966DA4">
        <w:rPr>
          <w:szCs w:val="28"/>
        </w:rPr>
        <w:t xml:space="preserve">тыс. руб.             </w:t>
      </w:r>
      <w:r w:rsidRPr="00DA278D">
        <w:rPr>
          <w:snapToGrid w:val="0"/>
          <w:szCs w:val="28"/>
          <w:lang w:eastAsia="ru-RU"/>
        </w:rPr>
        <w:t>Указанная сумма планируется исходя из предпол</w:t>
      </w:r>
      <w:r>
        <w:rPr>
          <w:snapToGrid w:val="0"/>
          <w:szCs w:val="28"/>
          <w:lang w:eastAsia="ru-RU"/>
        </w:rPr>
        <w:t>агаемой суммы начислений на 2022</w:t>
      </w:r>
      <w:r w:rsidRPr="00DA278D">
        <w:rPr>
          <w:snapToGrid w:val="0"/>
          <w:szCs w:val="28"/>
          <w:lang w:eastAsia="ru-RU"/>
        </w:rPr>
        <w:t xml:space="preserve"> год, а также проведения </w:t>
      </w:r>
      <w:r w:rsidRPr="00DA278D">
        <w:rPr>
          <w:szCs w:val="28"/>
        </w:rPr>
        <w:t>комплекса мер по взысканию и урегулированию образовавшейся задолженности по оплате аренды земельных участков</w:t>
      </w:r>
      <w:r>
        <w:rPr>
          <w:szCs w:val="28"/>
        </w:rPr>
        <w:t>.</w:t>
      </w:r>
      <w:r w:rsidRPr="00966DA4">
        <w:rPr>
          <w:szCs w:val="28"/>
        </w:rPr>
        <w:t xml:space="preserve"> </w:t>
      </w:r>
    </w:p>
    <w:p w:rsidR="00AD5742" w:rsidRPr="00966DA4" w:rsidRDefault="00AD5742" w:rsidP="00AD5742">
      <w:pPr>
        <w:jc w:val="both"/>
        <w:rPr>
          <w:szCs w:val="28"/>
        </w:rPr>
      </w:pPr>
      <w:r w:rsidRPr="00966DA4">
        <w:rPr>
          <w:szCs w:val="28"/>
        </w:rPr>
        <w:t xml:space="preserve">            Планируемые объемы доходов от продажи материальных </w:t>
      </w:r>
      <w:r w:rsidR="00084DEE">
        <w:rPr>
          <w:szCs w:val="28"/>
        </w:rPr>
        <w:t>и нематериальных активов на 2023</w:t>
      </w:r>
      <w:r w:rsidRPr="00966DA4">
        <w:rPr>
          <w:szCs w:val="28"/>
        </w:rPr>
        <w:t xml:space="preserve"> год пред</w:t>
      </w:r>
      <w:r w:rsidR="00084DEE">
        <w:rPr>
          <w:szCs w:val="28"/>
        </w:rPr>
        <w:t>усмотрены в сумме – 175</w:t>
      </w:r>
      <w:r w:rsidRPr="00966DA4">
        <w:rPr>
          <w:szCs w:val="28"/>
        </w:rPr>
        <w:t xml:space="preserve">0,0 тыс. руб. </w:t>
      </w:r>
      <w:r>
        <w:rPr>
          <w:szCs w:val="28"/>
        </w:rPr>
        <w:t xml:space="preserve">    </w:t>
      </w:r>
    </w:p>
    <w:p w:rsidR="00AD5742" w:rsidRPr="00966DA4" w:rsidRDefault="00AD5742" w:rsidP="00AD5742">
      <w:pPr>
        <w:jc w:val="both"/>
        <w:rPr>
          <w:color w:val="C00000"/>
          <w:szCs w:val="28"/>
        </w:rPr>
      </w:pPr>
      <w:r w:rsidRPr="00966DA4">
        <w:rPr>
          <w:color w:val="C00000"/>
          <w:szCs w:val="28"/>
        </w:rPr>
        <w:t xml:space="preserve">          </w:t>
      </w:r>
      <w:r w:rsidRPr="00966DA4">
        <w:rPr>
          <w:szCs w:val="28"/>
        </w:rPr>
        <w:t>Штрафы, санкции, возмещен</w:t>
      </w:r>
      <w:r w:rsidR="00B962ED">
        <w:rPr>
          <w:szCs w:val="28"/>
        </w:rPr>
        <w:t>ие ущерба прогнозируются на 2023</w:t>
      </w:r>
      <w:r w:rsidRPr="00966DA4">
        <w:rPr>
          <w:szCs w:val="28"/>
        </w:rPr>
        <w:t xml:space="preserve"> год в сумме 100,0 тыс. руб.</w:t>
      </w:r>
    </w:p>
    <w:p w:rsidR="00AD5742" w:rsidRDefault="00AD5742" w:rsidP="00AD5742">
      <w:pPr>
        <w:jc w:val="both"/>
        <w:rPr>
          <w:szCs w:val="28"/>
        </w:rPr>
      </w:pPr>
      <w:r w:rsidRPr="00966DA4">
        <w:rPr>
          <w:color w:val="C00000"/>
          <w:szCs w:val="28"/>
        </w:rPr>
        <w:t xml:space="preserve">         </w:t>
      </w:r>
      <w:r>
        <w:rPr>
          <w:color w:val="C00000"/>
          <w:szCs w:val="28"/>
        </w:rPr>
        <w:t xml:space="preserve">   </w:t>
      </w:r>
      <w:r w:rsidRPr="00966DA4">
        <w:rPr>
          <w:szCs w:val="28"/>
        </w:rPr>
        <w:t>Прочие неналоговы</w:t>
      </w:r>
      <w:r w:rsidR="00B962ED">
        <w:rPr>
          <w:szCs w:val="28"/>
        </w:rPr>
        <w:t>е доходы прогнозируются на 2023</w:t>
      </w:r>
      <w:r w:rsidRPr="00966DA4">
        <w:rPr>
          <w:szCs w:val="28"/>
        </w:rPr>
        <w:t xml:space="preserve">год в сумме </w:t>
      </w:r>
      <w:r w:rsidR="00B962ED">
        <w:rPr>
          <w:szCs w:val="28"/>
        </w:rPr>
        <w:t>50,0</w:t>
      </w:r>
      <w:r w:rsidRPr="00966DA4">
        <w:rPr>
          <w:szCs w:val="28"/>
        </w:rPr>
        <w:t xml:space="preserve"> тыс. руб.</w:t>
      </w:r>
    </w:p>
    <w:p w:rsidR="00AD5742" w:rsidRDefault="00AD5742" w:rsidP="00AD5742">
      <w:pPr>
        <w:jc w:val="both"/>
        <w:rPr>
          <w:szCs w:val="28"/>
        </w:rPr>
      </w:pPr>
      <w:r>
        <w:rPr>
          <w:szCs w:val="28"/>
        </w:rPr>
        <w:t xml:space="preserve">             Безвозмездные поступления </w:t>
      </w:r>
      <w:r w:rsidR="00B962ED">
        <w:rPr>
          <w:szCs w:val="28"/>
        </w:rPr>
        <w:t xml:space="preserve">не </w:t>
      </w:r>
      <w:r>
        <w:rPr>
          <w:szCs w:val="28"/>
        </w:rPr>
        <w:t>запланированы</w:t>
      </w:r>
      <w:proofErr w:type="gramStart"/>
      <w:r>
        <w:rPr>
          <w:szCs w:val="28"/>
        </w:rPr>
        <w:t xml:space="preserve"> </w:t>
      </w:r>
      <w:r w:rsidR="008554BC">
        <w:rPr>
          <w:szCs w:val="28"/>
        </w:rPr>
        <w:t>.</w:t>
      </w:r>
      <w:proofErr w:type="gramEnd"/>
    </w:p>
    <w:p w:rsidR="008554BC" w:rsidRDefault="008554BC" w:rsidP="008554BC">
      <w:pPr>
        <w:pStyle w:val="ab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63066C" w:rsidRDefault="008554BC" w:rsidP="008554BC">
      <w:pPr>
        <w:pStyle w:val="ab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Учитывая отсутствие в доходной части бюджета безвозмездных поступлений, администрации местного самоуправления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Бесланского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необходимо усилить работу по увеличению доходной части бюджета по неналоговым поступлениям, организации работы по взысканию дебиторской задолженности по доходам, оптимизации работы муниципальных </w:t>
      </w:r>
      <w:r w:rsidR="0063066C">
        <w:rPr>
          <w:rFonts w:ascii="Times New Roman" w:hAnsi="Times New Roman"/>
          <w:b/>
          <w:bCs/>
          <w:sz w:val="28"/>
          <w:szCs w:val="28"/>
        </w:rPr>
        <w:t xml:space="preserve">бюджетных и </w:t>
      </w:r>
      <w:r>
        <w:rPr>
          <w:rFonts w:ascii="Times New Roman" w:hAnsi="Times New Roman"/>
          <w:b/>
          <w:bCs/>
          <w:sz w:val="28"/>
          <w:szCs w:val="28"/>
        </w:rPr>
        <w:t>унитарных предприятий</w:t>
      </w:r>
      <w:r w:rsidR="0063066C">
        <w:rPr>
          <w:rFonts w:ascii="Times New Roman" w:hAnsi="Times New Roman"/>
          <w:b/>
          <w:bCs/>
          <w:sz w:val="28"/>
          <w:szCs w:val="28"/>
        </w:rPr>
        <w:t>.</w:t>
      </w:r>
    </w:p>
    <w:p w:rsidR="008554BC" w:rsidRDefault="0063066C" w:rsidP="008554BC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8554BC">
        <w:rPr>
          <w:rFonts w:ascii="Times New Roman" w:hAnsi="Times New Roman"/>
          <w:b/>
          <w:bCs/>
          <w:sz w:val="28"/>
          <w:szCs w:val="28"/>
        </w:rPr>
        <w:t>Результаты анализа проекта бюджета в част</w:t>
      </w:r>
      <w:r>
        <w:rPr>
          <w:rFonts w:ascii="Times New Roman" w:hAnsi="Times New Roman"/>
          <w:b/>
          <w:bCs/>
          <w:sz w:val="28"/>
          <w:szCs w:val="28"/>
        </w:rPr>
        <w:t>и прогнозируемых доходов на 2023</w:t>
      </w:r>
      <w:r w:rsidR="008554BC">
        <w:rPr>
          <w:rFonts w:ascii="Times New Roman" w:hAnsi="Times New Roman"/>
          <w:b/>
          <w:bCs/>
          <w:sz w:val="28"/>
          <w:szCs w:val="28"/>
        </w:rPr>
        <w:t xml:space="preserve"> год в целом свидетельствуют о соблюдении требований бюджетного законодательства, предъявляемых к стадии формирования бюджета.</w:t>
      </w:r>
    </w:p>
    <w:p w:rsidR="00B962ED" w:rsidRDefault="00B962ED" w:rsidP="00AD5742">
      <w:pPr>
        <w:jc w:val="center"/>
        <w:rPr>
          <w:b/>
          <w:szCs w:val="28"/>
        </w:rPr>
      </w:pPr>
    </w:p>
    <w:p w:rsidR="00B962ED" w:rsidRDefault="00B962ED" w:rsidP="00AD5742">
      <w:pPr>
        <w:jc w:val="center"/>
        <w:rPr>
          <w:b/>
          <w:szCs w:val="28"/>
        </w:rPr>
      </w:pPr>
    </w:p>
    <w:p w:rsidR="00AD5742" w:rsidRPr="0061171B" w:rsidRDefault="00AD5742" w:rsidP="00AD5742">
      <w:pPr>
        <w:jc w:val="center"/>
        <w:rPr>
          <w:b/>
          <w:szCs w:val="28"/>
        </w:rPr>
      </w:pPr>
      <w:r w:rsidRPr="0061171B">
        <w:rPr>
          <w:b/>
          <w:szCs w:val="28"/>
        </w:rPr>
        <w:t>Расходы бюджета.</w:t>
      </w:r>
    </w:p>
    <w:p w:rsidR="00AD5742" w:rsidRPr="006B0F09" w:rsidRDefault="00AD5742" w:rsidP="00AD5742">
      <w:pPr>
        <w:jc w:val="center"/>
        <w:rPr>
          <w:b/>
          <w:szCs w:val="28"/>
        </w:rPr>
      </w:pPr>
    </w:p>
    <w:p w:rsidR="00AD5742" w:rsidRPr="006A7877" w:rsidRDefault="00AD5742" w:rsidP="00AD5742">
      <w:pPr>
        <w:jc w:val="both"/>
        <w:rPr>
          <w:szCs w:val="28"/>
        </w:rPr>
      </w:pPr>
      <w:r w:rsidRPr="006A7877">
        <w:rPr>
          <w:szCs w:val="28"/>
        </w:rPr>
        <w:t xml:space="preserve">  </w:t>
      </w:r>
      <w:r w:rsidR="00422BC7">
        <w:rPr>
          <w:szCs w:val="28"/>
        </w:rPr>
        <w:t xml:space="preserve">         Расходы бюджета на 2023</w:t>
      </w:r>
      <w:r w:rsidRPr="006A7877">
        <w:rPr>
          <w:szCs w:val="28"/>
        </w:rPr>
        <w:t xml:space="preserve"> год  предусмотрены в сумме </w:t>
      </w:r>
      <w:r w:rsidR="00422BC7">
        <w:rPr>
          <w:b/>
          <w:szCs w:val="28"/>
        </w:rPr>
        <w:t>842</w:t>
      </w:r>
      <w:r w:rsidRPr="006A7877">
        <w:rPr>
          <w:b/>
          <w:szCs w:val="28"/>
        </w:rPr>
        <w:t>00,0 тыс. руб</w:t>
      </w:r>
      <w:r w:rsidRPr="006A7877">
        <w:rPr>
          <w:szCs w:val="28"/>
        </w:rPr>
        <w:t>. Из представленных на заключени</w:t>
      </w:r>
      <w:r w:rsidR="00422BC7">
        <w:rPr>
          <w:szCs w:val="28"/>
        </w:rPr>
        <w:t>е материалов следует, что в 2023</w:t>
      </w:r>
      <w:r w:rsidRPr="006A7877">
        <w:rPr>
          <w:szCs w:val="28"/>
        </w:rPr>
        <w:t xml:space="preserve"> году планируется сократить расходы к</w:t>
      </w:r>
      <w:r w:rsidR="007B2358">
        <w:rPr>
          <w:szCs w:val="28"/>
        </w:rPr>
        <w:t xml:space="preserve"> уточненному плану 2022</w:t>
      </w:r>
      <w:r w:rsidRPr="006A7877">
        <w:rPr>
          <w:szCs w:val="28"/>
        </w:rPr>
        <w:t xml:space="preserve"> г. на </w:t>
      </w:r>
      <w:r w:rsidR="007B2358">
        <w:rPr>
          <w:szCs w:val="28"/>
        </w:rPr>
        <w:t>0,4</w:t>
      </w:r>
      <w:r w:rsidRPr="006A7877">
        <w:rPr>
          <w:b/>
          <w:szCs w:val="28"/>
        </w:rPr>
        <w:t xml:space="preserve">%  </w:t>
      </w:r>
      <w:r w:rsidRPr="006A7877">
        <w:rPr>
          <w:szCs w:val="28"/>
        </w:rPr>
        <w:t>или на</w:t>
      </w:r>
      <w:r w:rsidRPr="006A7877">
        <w:rPr>
          <w:b/>
          <w:szCs w:val="28"/>
        </w:rPr>
        <w:t xml:space="preserve">  </w:t>
      </w:r>
      <w:r w:rsidR="007B2358">
        <w:rPr>
          <w:b/>
          <w:szCs w:val="28"/>
        </w:rPr>
        <w:t xml:space="preserve">400,0 </w:t>
      </w:r>
      <w:r w:rsidRPr="006A7877">
        <w:rPr>
          <w:b/>
          <w:szCs w:val="28"/>
        </w:rPr>
        <w:t>тыс. руб.</w:t>
      </w:r>
      <w:r w:rsidRPr="006A7877">
        <w:rPr>
          <w:szCs w:val="28"/>
        </w:rPr>
        <w:t xml:space="preserve"> </w:t>
      </w:r>
    </w:p>
    <w:p w:rsidR="00AD5742" w:rsidRPr="006A7877" w:rsidRDefault="00AD5742" w:rsidP="00AD5742">
      <w:pPr>
        <w:jc w:val="both"/>
        <w:rPr>
          <w:szCs w:val="28"/>
        </w:rPr>
      </w:pPr>
      <w:r w:rsidRPr="006A7877">
        <w:rPr>
          <w:szCs w:val="28"/>
        </w:rPr>
        <w:t xml:space="preserve">         Основная</w:t>
      </w:r>
      <w:r w:rsidR="007B2358">
        <w:rPr>
          <w:szCs w:val="28"/>
        </w:rPr>
        <w:t xml:space="preserve"> цель бюджетной политики на 2023</w:t>
      </w:r>
      <w:r w:rsidRPr="006A7877">
        <w:rPr>
          <w:szCs w:val="28"/>
        </w:rPr>
        <w:t xml:space="preserve"> год ориентирована на повышение качества бюджетных услуг и эффективности бюджетных  расходов.</w:t>
      </w:r>
    </w:p>
    <w:p w:rsidR="00AD5742" w:rsidRPr="006A7877" w:rsidRDefault="00AD5742" w:rsidP="00AD5742">
      <w:pPr>
        <w:jc w:val="both"/>
        <w:rPr>
          <w:szCs w:val="28"/>
        </w:rPr>
      </w:pPr>
      <w:r w:rsidRPr="006A7877">
        <w:rPr>
          <w:szCs w:val="28"/>
        </w:rPr>
        <w:t xml:space="preserve">         За основу для расчетов прогнозных объемов бюджетного финансирования на 202</w:t>
      </w:r>
      <w:r w:rsidR="007B2358">
        <w:rPr>
          <w:szCs w:val="28"/>
        </w:rPr>
        <w:t>3</w:t>
      </w:r>
      <w:r w:rsidRPr="006A7877">
        <w:rPr>
          <w:szCs w:val="28"/>
        </w:rPr>
        <w:t xml:space="preserve"> год приняты утвержд</w:t>
      </w:r>
      <w:r w:rsidR="007B2358">
        <w:rPr>
          <w:szCs w:val="28"/>
        </w:rPr>
        <w:t>енные показатели бюджета на 2020 г.,2021</w:t>
      </w:r>
      <w:r w:rsidRPr="006A7877">
        <w:rPr>
          <w:szCs w:val="28"/>
        </w:rPr>
        <w:t>г</w:t>
      </w:r>
      <w:r w:rsidR="007B2358">
        <w:rPr>
          <w:szCs w:val="28"/>
        </w:rPr>
        <w:t xml:space="preserve"> и уточненные показатели на 2022</w:t>
      </w:r>
      <w:r w:rsidRPr="006A7877">
        <w:rPr>
          <w:szCs w:val="28"/>
        </w:rPr>
        <w:t>г.</w:t>
      </w:r>
    </w:p>
    <w:p w:rsidR="00AD5742" w:rsidRPr="006A7877" w:rsidRDefault="00AD5742" w:rsidP="00AD5742">
      <w:pPr>
        <w:jc w:val="both"/>
        <w:rPr>
          <w:szCs w:val="28"/>
        </w:rPr>
      </w:pPr>
      <w:r w:rsidRPr="006A7877">
        <w:rPr>
          <w:b/>
          <w:szCs w:val="28"/>
        </w:rPr>
        <w:t xml:space="preserve">          </w:t>
      </w:r>
      <w:r w:rsidRPr="006A7877">
        <w:rPr>
          <w:szCs w:val="28"/>
        </w:rPr>
        <w:t>В качестве основных прио</w:t>
      </w:r>
      <w:r w:rsidR="007B2358">
        <w:rPr>
          <w:szCs w:val="28"/>
        </w:rPr>
        <w:t>ритетов расходов бюджета на 2023</w:t>
      </w:r>
      <w:r w:rsidRPr="006A7877">
        <w:rPr>
          <w:szCs w:val="28"/>
        </w:rPr>
        <w:t>г. определяются: безусловное выполнение обязательств по содержанию жилищно-коммунального хозяйства города, оплата труда работников муниципальных органов и других мероприятий для реализации единой государственной политики.</w:t>
      </w:r>
    </w:p>
    <w:p w:rsidR="006E3C9E" w:rsidRDefault="00AD5742" w:rsidP="00AD5742">
      <w:pPr>
        <w:jc w:val="both"/>
        <w:rPr>
          <w:rFonts w:eastAsia="Times New Roman"/>
          <w:color w:val="000000"/>
          <w:szCs w:val="28"/>
          <w:lang w:eastAsia="ru-RU"/>
        </w:rPr>
      </w:pPr>
      <w:r w:rsidRPr="006A7877">
        <w:rPr>
          <w:szCs w:val="28"/>
        </w:rPr>
        <w:t xml:space="preserve">          Наибольший удельный вес в расходах бюджета занимают расходы по разделу «Жилищно-комму</w:t>
      </w:r>
      <w:r w:rsidR="006E3C9E">
        <w:rPr>
          <w:szCs w:val="28"/>
        </w:rPr>
        <w:t>нальное хозяйство» - 71</w:t>
      </w:r>
      <w:r w:rsidRPr="006A7877">
        <w:rPr>
          <w:szCs w:val="28"/>
        </w:rPr>
        <w:t>%, по разделу «О</w:t>
      </w:r>
      <w:r w:rsidR="006E3C9E">
        <w:rPr>
          <w:szCs w:val="28"/>
        </w:rPr>
        <w:t>бщегосударственные вопросы» - 22,6</w:t>
      </w:r>
      <w:r w:rsidRPr="006A7877">
        <w:rPr>
          <w:szCs w:val="28"/>
        </w:rPr>
        <w:t>%.</w:t>
      </w:r>
      <w:r>
        <w:rPr>
          <w:rFonts w:eastAsia="Times New Roman"/>
          <w:color w:val="000000"/>
          <w:szCs w:val="28"/>
          <w:lang w:eastAsia="ru-RU"/>
        </w:rPr>
        <w:t xml:space="preserve">       </w:t>
      </w:r>
    </w:p>
    <w:p w:rsidR="00AD5742" w:rsidRPr="00F93CD0" w:rsidRDefault="00AD5742" w:rsidP="00AD5742">
      <w:pPr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</w:t>
      </w:r>
    </w:p>
    <w:p w:rsidR="00AD5742" w:rsidRPr="00F93CD0" w:rsidRDefault="00AD5742" w:rsidP="00AD5742">
      <w:pPr>
        <w:shd w:val="clear" w:color="auto" w:fill="FFFFFF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</w:t>
      </w:r>
      <w:proofErr w:type="gramStart"/>
      <w:r w:rsidRPr="00F93CD0">
        <w:rPr>
          <w:rFonts w:eastAsia="Times New Roman"/>
          <w:color w:val="000000"/>
          <w:szCs w:val="28"/>
          <w:lang w:eastAsia="ru-RU"/>
        </w:rPr>
        <w:t>Сравнительные данные по р</w:t>
      </w:r>
      <w:r w:rsidR="006E3C9E">
        <w:rPr>
          <w:rFonts w:eastAsia="Times New Roman"/>
          <w:color w:val="000000"/>
          <w:szCs w:val="28"/>
          <w:lang w:eastAsia="ru-RU"/>
        </w:rPr>
        <w:t>асходам бюджета поселения в 2023</w:t>
      </w:r>
      <w:r w:rsidRPr="00F93CD0">
        <w:rPr>
          <w:rFonts w:eastAsia="Times New Roman"/>
          <w:color w:val="000000"/>
          <w:szCs w:val="28"/>
          <w:lang w:eastAsia="ru-RU"/>
        </w:rPr>
        <w:t xml:space="preserve"> году, по разделам функциональной классификации расходов бюджетов (в </w:t>
      </w:r>
      <w:proofErr w:type="spellStart"/>
      <w:r w:rsidRPr="00F93CD0">
        <w:rPr>
          <w:rFonts w:eastAsia="Times New Roman"/>
          <w:color w:val="000000"/>
          <w:szCs w:val="28"/>
          <w:lang w:eastAsia="ru-RU"/>
        </w:rPr>
        <w:t>т.ч</w:t>
      </w:r>
      <w:proofErr w:type="spellEnd"/>
      <w:r w:rsidRPr="00F93CD0">
        <w:rPr>
          <w:rFonts w:eastAsia="Times New Roman"/>
          <w:color w:val="000000"/>
          <w:szCs w:val="28"/>
          <w:lang w:eastAsia="ru-RU"/>
        </w:rPr>
        <w:t>. динамика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F93CD0">
        <w:rPr>
          <w:rFonts w:eastAsia="Times New Roman"/>
          <w:color w:val="000000"/>
          <w:szCs w:val="28"/>
          <w:lang w:eastAsia="ru-RU"/>
        </w:rPr>
        <w:t>изменения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F93CD0">
        <w:rPr>
          <w:rFonts w:eastAsia="Times New Roman"/>
          <w:color w:val="000000"/>
          <w:szCs w:val="28"/>
          <w:lang w:eastAsia="ru-RU"/>
        </w:rPr>
        <w:t>параметров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F93CD0">
        <w:rPr>
          <w:rFonts w:eastAsia="Times New Roman"/>
          <w:color w:val="000000"/>
          <w:szCs w:val="28"/>
          <w:lang w:eastAsia="ru-RU"/>
        </w:rPr>
        <w:t>бюджета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F93CD0">
        <w:rPr>
          <w:rFonts w:eastAsia="Times New Roman"/>
          <w:color w:val="000000"/>
          <w:szCs w:val="28"/>
          <w:lang w:eastAsia="ru-RU"/>
        </w:rPr>
        <w:t>по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F93CD0">
        <w:rPr>
          <w:rFonts w:eastAsia="Times New Roman"/>
          <w:color w:val="000000"/>
          <w:szCs w:val="28"/>
          <w:lang w:eastAsia="ru-RU"/>
        </w:rPr>
        <w:t>разделам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F93CD0">
        <w:rPr>
          <w:rFonts w:eastAsia="Times New Roman"/>
          <w:color w:val="000000"/>
          <w:szCs w:val="28"/>
          <w:lang w:eastAsia="ru-RU"/>
        </w:rPr>
        <w:t>классификации</w:t>
      </w:r>
      <w:proofErr w:type="gramEnd"/>
    </w:p>
    <w:p w:rsidR="00AD5742" w:rsidRDefault="00AD5742" w:rsidP="00AD5742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  <w:proofErr w:type="gramStart"/>
      <w:r w:rsidRPr="00F93CD0">
        <w:rPr>
          <w:rFonts w:eastAsia="Times New Roman"/>
          <w:color w:val="000000"/>
          <w:szCs w:val="28"/>
          <w:lang w:eastAsia="ru-RU"/>
        </w:rPr>
        <w:t>Расходов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F93CD0">
        <w:rPr>
          <w:rFonts w:eastAsia="Times New Roman"/>
          <w:color w:val="000000"/>
          <w:szCs w:val="28"/>
          <w:lang w:eastAsia="ru-RU"/>
        </w:rPr>
        <w:t>бюджета)</w:t>
      </w:r>
      <w:r>
        <w:rPr>
          <w:rFonts w:eastAsia="Times New Roman"/>
          <w:color w:val="000000"/>
          <w:szCs w:val="28"/>
          <w:lang w:eastAsia="ru-RU"/>
        </w:rPr>
        <w:t xml:space="preserve"> представлены в таблице №3.</w:t>
      </w:r>
      <w:proofErr w:type="gramEnd"/>
    </w:p>
    <w:p w:rsidR="00AD5742" w:rsidRDefault="00AD5742" w:rsidP="00AD5742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:rsidR="00AD5742" w:rsidRDefault="00AD5742" w:rsidP="00AD5742">
      <w:pPr>
        <w:shd w:val="clear" w:color="auto" w:fill="FFFFFF"/>
        <w:rPr>
          <w:rFonts w:eastAsia="Times New Roman"/>
          <w:color w:val="000000"/>
          <w:szCs w:val="28"/>
          <w:lang w:eastAsia="ru-RU"/>
        </w:rPr>
      </w:pPr>
    </w:p>
    <w:p w:rsidR="00AD5742" w:rsidRDefault="00AD5742" w:rsidP="00AD5742">
      <w:pPr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DA66B7">
        <w:rPr>
          <w:b/>
          <w:szCs w:val="28"/>
        </w:rPr>
        <w:t xml:space="preserve">труктура расходов бюджета по разделам </w:t>
      </w:r>
      <w:r>
        <w:rPr>
          <w:b/>
          <w:szCs w:val="28"/>
        </w:rPr>
        <w:t xml:space="preserve"> </w:t>
      </w:r>
    </w:p>
    <w:p w:rsidR="00AD5742" w:rsidRDefault="00AD5742" w:rsidP="00AD5742">
      <w:pPr>
        <w:jc w:val="center"/>
        <w:rPr>
          <w:b/>
          <w:szCs w:val="28"/>
        </w:rPr>
      </w:pPr>
      <w:r w:rsidRPr="00DA66B7">
        <w:rPr>
          <w:b/>
          <w:szCs w:val="28"/>
        </w:rPr>
        <w:t>классификации расходов бюджетов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Pr="00731FE1" w:rsidRDefault="00AD5742" w:rsidP="00AD5742">
      <w:pPr>
        <w:jc w:val="center"/>
        <w:rPr>
          <w:szCs w:val="28"/>
        </w:rPr>
      </w:pPr>
      <w:r w:rsidRPr="00731FE1">
        <w:rPr>
          <w:szCs w:val="28"/>
        </w:rPr>
        <w:t>Таблица №3</w:t>
      </w:r>
    </w:p>
    <w:p w:rsidR="00AD5742" w:rsidRDefault="00AD5742" w:rsidP="00AD5742">
      <w:pPr>
        <w:ind w:left="7788" w:firstLine="708"/>
        <w:rPr>
          <w:sz w:val="20"/>
          <w:szCs w:val="20"/>
        </w:rPr>
      </w:pPr>
      <w:proofErr w:type="spellStart"/>
      <w:proofErr w:type="gramStart"/>
      <w:r w:rsidRPr="008B51E2">
        <w:rPr>
          <w:sz w:val="20"/>
          <w:szCs w:val="20"/>
        </w:rPr>
        <w:t>Тыс</w:t>
      </w:r>
      <w:proofErr w:type="spellEnd"/>
      <w:proofErr w:type="gramEnd"/>
      <w:r w:rsidRPr="008B51E2">
        <w:rPr>
          <w:sz w:val="20"/>
          <w:szCs w:val="20"/>
        </w:rPr>
        <w:t xml:space="preserve"> </w:t>
      </w:r>
      <w:proofErr w:type="spellStart"/>
      <w:r w:rsidRPr="008B51E2">
        <w:rPr>
          <w:sz w:val="20"/>
          <w:szCs w:val="20"/>
        </w:rPr>
        <w:t>руб</w:t>
      </w:r>
      <w:proofErr w:type="spellEnd"/>
    </w:p>
    <w:p w:rsidR="00AD5742" w:rsidRPr="008B51E2" w:rsidRDefault="00AD5742" w:rsidP="00AD5742">
      <w:pPr>
        <w:ind w:left="7788" w:firstLine="708"/>
        <w:rPr>
          <w:sz w:val="20"/>
          <w:szCs w:val="20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989"/>
        <w:gridCol w:w="991"/>
        <w:gridCol w:w="989"/>
        <w:gridCol w:w="846"/>
        <w:gridCol w:w="925"/>
        <w:gridCol w:w="914"/>
        <w:gridCol w:w="872"/>
        <w:gridCol w:w="680"/>
        <w:gridCol w:w="1021"/>
        <w:gridCol w:w="708"/>
      </w:tblGrid>
      <w:tr w:rsidR="00422BC7" w:rsidRPr="008B51E2" w:rsidTr="00EA5BBC">
        <w:trPr>
          <w:trHeight w:val="487"/>
        </w:trPr>
        <w:tc>
          <w:tcPr>
            <w:tcW w:w="798" w:type="pct"/>
            <w:vMerge w:val="restart"/>
            <w:shd w:val="clear" w:color="auto" w:fill="auto"/>
          </w:tcPr>
          <w:p w:rsidR="00422BC7" w:rsidRPr="008B51E2" w:rsidRDefault="00422BC7" w:rsidP="00AD5742">
            <w:pPr>
              <w:rPr>
                <w:sz w:val="20"/>
                <w:szCs w:val="20"/>
              </w:rPr>
            </w:pPr>
          </w:p>
        </w:tc>
        <w:tc>
          <w:tcPr>
            <w:tcW w:w="931" w:type="pct"/>
            <w:gridSpan w:val="2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</w:t>
            </w:r>
            <w:r w:rsidRPr="008B51E2">
              <w:rPr>
                <w:sz w:val="20"/>
                <w:szCs w:val="20"/>
              </w:rPr>
              <w:t>год (</w:t>
            </w:r>
            <w:r>
              <w:rPr>
                <w:sz w:val="20"/>
                <w:szCs w:val="20"/>
              </w:rPr>
              <w:t>отчет</w:t>
            </w:r>
            <w:r w:rsidRPr="008B51E2">
              <w:rPr>
                <w:sz w:val="20"/>
                <w:szCs w:val="20"/>
              </w:rPr>
              <w:t>)</w:t>
            </w:r>
          </w:p>
        </w:tc>
        <w:tc>
          <w:tcPr>
            <w:tcW w:w="863" w:type="pct"/>
            <w:gridSpan w:val="2"/>
          </w:tcPr>
          <w:p w:rsidR="00422BC7" w:rsidRPr="008B51E2" w:rsidRDefault="00422BC7" w:rsidP="00422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 (отчет)</w:t>
            </w:r>
          </w:p>
        </w:tc>
        <w:tc>
          <w:tcPr>
            <w:tcW w:w="865" w:type="pct"/>
            <w:gridSpan w:val="2"/>
            <w:shd w:val="clear" w:color="auto" w:fill="auto"/>
          </w:tcPr>
          <w:p w:rsidR="00422BC7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(</w:t>
            </w:r>
            <w:proofErr w:type="spellStart"/>
            <w:r>
              <w:rPr>
                <w:sz w:val="20"/>
                <w:szCs w:val="20"/>
              </w:rPr>
              <w:t>уточ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лан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gridSpan w:val="2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(план)</w:t>
            </w:r>
          </w:p>
        </w:tc>
        <w:tc>
          <w:tcPr>
            <w:tcW w:w="813" w:type="pct"/>
            <w:gridSpan w:val="2"/>
            <w:shd w:val="clear" w:color="auto" w:fill="auto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Изменения</w:t>
            </w:r>
          </w:p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+ увеличение</w:t>
            </w:r>
          </w:p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- уменьшение</w:t>
            </w:r>
          </w:p>
        </w:tc>
      </w:tr>
      <w:tr w:rsidR="00422BC7" w:rsidRPr="008B51E2" w:rsidTr="00EA5BBC">
        <w:trPr>
          <w:trHeight w:val="486"/>
        </w:trPr>
        <w:tc>
          <w:tcPr>
            <w:tcW w:w="798" w:type="pct"/>
            <w:vMerge/>
            <w:shd w:val="clear" w:color="auto" w:fill="auto"/>
          </w:tcPr>
          <w:p w:rsidR="00422BC7" w:rsidRPr="008B51E2" w:rsidRDefault="00422BC7" w:rsidP="00AD5742">
            <w:pPr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466" w:type="pct"/>
          </w:tcPr>
          <w:p w:rsidR="00422BC7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51E2">
              <w:rPr>
                <w:sz w:val="20"/>
                <w:szCs w:val="20"/>
              </w:rPr>
              <w:t>д вес</w:t>
            </w:r>
          </w:p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98" w:type="pct"/>
          </w:tcPr>
          <w:p w:rsidR="00422BC7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B51E2">
              <w:rPr>
                <w:sz w:val="20"/>
                <w:szCs w:val="20"/>
              </w:rPr>
              <w:t>д вес</w:t>
            </w:r>
          </w:p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ес</w:t>
            </w:r>
            <w:proofErr w:type="spellEnd"/>
            <w:r>
              <w:rPr>
                <w:sz w:val="20"/>
                <w:szCs w:val="20"/>
              </w:rPr>
              <w:t xml:space="preserve"> %</w:t>
            </w:r>
          </w:p>
        </w:tc>
        <w:tc>
          <w:tcPr>
            <w:tcW w:w="410" w:type="pct"/>
          </w:tcPr>
          <w:p w:rsidR="00422BC7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20" w:type="pct"/>
          </w:tcPr>
          <w:p w:rsidR="00422BC7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 вес %</w:t>
            </w:r>
          </w:p>
        </w:tc>
        <w:tc>
          <w:tcPr>
            <w:tcW w:w="480" w:type="pct"/>
            <w:shd w:val="clear" w:color="auto" w:fill="auto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333" w:type="pct"/>
            <w:shd w:val="clear" w:color="auto" w:fill="auto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в % к пред</w:t>
            </w:r>
            <w:proofErr w:type="gramStart"/>
            <w:r w:rsidRPr="008B51E2">
              <w:rPr>
                <w:sz w:val="20"/>
                <w:szCs w:val="20"/>
              </w:rPr>
              <w:t>.</w:t>
            </w:r>
            <w:proofErr w:type="gramEnd"/>
            <w:r w:rsidRPr="008B51E2">
              <w:rPr>
                <w:sz w:val="20"/>
                <w:szCs w:val="20"/>
              </w:rPr>
              <w:t xml:space="preserve"> </w:t>
            </w:r>
            <w:proofErr w:type="gramStart"/>
            <w:r w:rsidRPr="008B51E2">
              <w:rPr>
                <w:sz w:val="20"/>
                <w:szCs w:val="20"/>
              </w:rPr>
              <w:t>г</w:t>
            </w:r>
            <w:proofErr w:type="gramEnd"/>
            <w:r w:rsidRPr="008B51E2">
              <w:rPr>
                <w:sz w:val="20"/>
                <w:szCs w:val="20"/>
              </w:rPr>
              <w:t>оду</w:t>
            </w:r>
          </w:p>
        </w:tc>
      </w:tr>
      <w:tr w:rsidR="00422BC7" w:rsidRPr="008B51E2" w:rsidTr="00EA5BBC">
        <w:tc>
          <w:tcPr>
            <w:tcW w:w="798" w:type="pct"/>
            <w:shd w:val="clear" w:color="auto" w:fill="auto"/>
          </w:tcPr>
          <w:p w:rsidR="00422BC7" w:rsidRPr="008B51E2" w:rsidRDefault="00422BC7" w:rsidP="00AD5742">
            <w:pPr>
              <w:rPr>
                <w:sz w:val="20"/>
                <w:szCs w:val="20"/>
              </w:rPr>
            </w:pPr>
            <w:r w:rsidRPr="008B51E2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84297,9</w:t>
            </w:r>
          </w:p>
        </w:tc>
        <w:tc>
          <w:tcPr>
            <w:tcW w:w="466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65" w:type="pct"/>
          </w:tcPr>
          <w:p w:rsidR="00422BC7" w:rsidRPr="008B51E2" w:rsidRDefault="001C6F18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82324,0</w:t>
            </w:r>
          </w:p>
        </w:tc>
        <w:tc>
          <w:tcPr>
            <w:tcW w:w="398" w:type="pct"/>
          </w:tcPr>
          <w:p w:rsidR="00422BC7" w:rsidRPr="008B51E2" w:rsidRDefault="001C6F18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422BC7">
              <w:rPr>
                <w:sz w:val="20"/>
                <w:szCs w:val="20"/>
              </w:rPr>
              <w:t>600,0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84200,0</w:t>
            </w:r>
          </w:p>
        </w:tc>
        <w:tc>
          <w:tcPr>
            <w:tcW w:w="32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80" w:type="pct"/>
            <w:shd w:val="clear" w:color="auto" w:fill="auto"/>
          </w:tcPr>
          <w:p w:rsidR="00422BC7" w:rsidRPr="008B51E2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  <w:tc>
          <w:tcPr>
            <w:tcW w:w="333" w:type="pct"/>
            <w:shd w:val="clear" w:color="auto" w:fill="auto"/>
          </w:tcPr>
          <w:p w:rsidR="00422BC7" w:rsidRPr="008B51E2" w:rsidRDefault="00EF0AB3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-0,4</w:t>
            </w:r>
          </w:p>
        </w:tc>
      </w:tr>
      <w:tr w:rsidR="00422BC7" w:rsidRPr="008B51E2" w:rsidTr="00EA5BBC">
        <w:tc>
          <w:tcPr>
            <w:tcW w:w="798" w:type="pct"/>
            <w:shd w:val="clear" w:color="auto" w:fill="auto"/>
          </w:tcPr>
          <w:p w:rsidR="00422BC7" w:rsidRPr="008B51E2" w:rsidRDefault="00422BC7" w:rsidP="00AD574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15785,8</w:t>
            </w:r>
          </w:p>
        </w:tc>
        <w:tc>
          <w:tcPr>
            <w:tcW w:w="466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465" w:type="pct"/>
          </w:tcPr>
          <w:p w:rsidR="00422BC7" w:rsidRPr="008B51E2" w:rsidRDefault="001C6F18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14882,7</w:t>
            </w:r>
          </w:p>
        </w:tc>
        <w:tc>
          <w:tcPr>
            <w:tcW w:w="398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15632,7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</w:tc>
        <w:tc>
          <w:tcPr>
            <w:tcW w:w="41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19050,0</w:t>
            </w:r>
          </w:p>
        </w:tc>
        <w:tc>
          <w:tcPr>
            <w:tcW w:w="32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22,6</w:t>
            </w:r>
          </w:p>
        </w:tc>
        <w:tc>
          <w:tcPr>
            <w:tcW w:w="480" w:type="pct"/>
            <w:shd w:val="clear" w:color="auto" w:fill="auto"/>
          </w:tcPr>
          <w:p w:rsidR="00422BC7" w:rsidRPr="008B51E2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+3417,3</w:t>
            </w:r>
          </w:p>
        </w:tc>
        <w:tc>
          <w:tcPr>
            <w:tcW w:w="333" w:type="pct"/>
            <w:shd w:val="clear" w:color="auto" w:fill="auto"/>
          </w:tcPr>
          <w:p w:rsidR="00422BC7" w:rsidRPr="008B51E2" w:rsidRDefault="00EF0AB3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+21,8</w:t>
            </w:r>
          </w:p>
        </w:tc>
      </w:tr>
      <w:tr w:rsidR="00422BC7" w:rsidRPr="008B51E2" w:rsidTr="00EA5BBC">
        <w:tc>
          <w:tcPr>
            <w:tcW w:w="798" w:type="pct"/>
            <w:shd w:val="clear" w:color="auto" w:fill="auto"/>
          </w:tcPr>
          <w:p w:rsidR="00422BC7" w:rsidRPr="008B51E2" w:rsidRDefault="00422BC7" w:rsidP="00AD574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</w:t>
            </w:r>
          </w:p>
        </w:tc>
        <w:tc>
          <w:tcPr>
            <w:tcW w:w="466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65" w:type="pct"/>
          </w:tcPr>
          <w:p w:rsidR="00422BC7" w:rsidRPr="008B51E2" w:rsidRDefault="001C6F18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1881,9</w:t>
            </w:r>
          </w:p>
        </w:tc>
        <w:tc>
          <w:tcPr>
            <w:tcW w:w="398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2090,0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41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2520,0</w:t>
            </w:r>
          </w:p>
        </w:tc>
        <w:tc>
          <w:tcPr>
            <w:tcW w:w="32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480" w:type="pct"/>
            <w:shd w:val="clear" w:color="auto" w:fill="auto"/>
          </w:tcPr>
          <w:p w:rsidR="00422BC7" w:rsidRPr="008B51E2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+430,0</w:t>
            </w:r>
          </w:p>
        </w:tc>
        <w:tc>
          <w:tcPr>
            <w:tcW w:w="333" w:type="pct"/>
            <w:shd w:val="clear" w:color="auto" w:fill="auto"/>
          </w:tcPr>
          <w:p w:rsidR="00422BC7" w:rsidRPr="008B51E2" w:rsidRDefault="00EF0AB3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</w:t>
            </w:r>
          </w:p>
        </w:tc>
      </w:tr>
      <w:tr w:rsidR="00422BC7" w:rsidRPr="008B51E2" w:rsidTr="00EA5BBC">
        <w:tc>
          <w:tcPr>
            <w:tcW w:w="798" w:type="pct"/>
            <w:shd w:val="clear" w:color="auto" w:fill="auto"/>
          </w:tcPr>
          <w:p w:rsidR="00422BC7" w:rsidRPr="008B51E2" w:rsidRDefault="00422BC7" w:rsidP="00AD574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61633,5</w:t>
            </w:r>
          </w:p>
        </w:tc>
        <w:tc>
          <w:tcPr>
            <w:tcW w:w="466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465" w:type="pct"/>
          </w:tcPr>
          <w:p w:rsidR="00422BC7" w:rsidRPr="008B51E2" w:rsidRDefault="001C6F18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59670,8</w:t>
            </w:r>
          </w:p>
        </w:tc>
        <w:tc>
          <w:tcPr>
            <w:tcW w:w="398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62657,3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41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59700,0</w:t>
            </w:r>
          </w:p>
        </w:tc>
        <w:tc>
          <w:tcPr>
            <w:tcW w:w="32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480" w:type="pct"/>
            <w:shd w:val="clear" w:color="auto" w:fill="auto"/>
          </w:tcPr>
          <w:p w:rsidR="00422BC7" w:rsidRPr="008B51E2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-2957,3</w:t>
            </w:r>
          </w:p>
        </w:tc>
        <w:tc>
          <w:tcPr>
            <w:tcW w:w="333" w:type="pct"/>
            <w:shd w:val="clear" w:color="auto" w:fill="auto"/>
          </w:tcPr>
          <w:p w:rsidR="00422BC7" w:rsidRPr="008B51E2" w:rsidRDefault="00EF0AB3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-4,7</w:t>
            </w:r>
          </w:p>
        </w:tc>
      </w:tr>
      <w:tr w:rsidR="00422BC7" w:rsidRPr="008B51E2" w:rsidTr="00EA5BBC">
        <w:tc>
          <w:tcPr>
            <w:tcW w:w="798" w:type="pct"/>
            <w:shd w:val="clear" w:color="auto" w:fill="auto"/>
          </w:tcPr>
          <w:p w:rsidR="00422BC7" w:rsidRPr="008B51E2" w:rsidRDefault="00422BC7" w:rsidP="00AD574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  <w:tc>
          <w:tcPr>
            <w:tcW w:w="466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65" w:type="pct"/>
          </w:tcPr>
          <w:p w:rsidR="00422BC7" w:rsidRPr="008B51E2" w:rsidRDefault="001C6F18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398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41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422BC7" w:rsidRPr="008B51E2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-35,0</w:t>
            </w:r>
          </w:p>
        </w:tc>
        <w:tc>
          <w:tcPr>
            <w:tcW w:w="333" w:type="pct"/>
            <w:shd w:val="clear" w:color="auto" w:fill="auto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</w:p>
        </w:tc>
      </w:tr>
      <w:tr w:rsidR="00422BC7" w:rsidRPr="008B51E2" w:rsidTr="00EA5BBC">
        <w:tc>
          <w:tcPr>
            <w:tcW w:w="798" w:type="pct"/>
            <w:shd w:val="clear" w:color="auto" w:fill="auto"/>
          </w:tcPr>
          <w:p w:rsidR="00422BC7" w:rsidRPr="008B51E2" w:rsidRDefault="00422BC7" w:rsidP="00AD574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 xml:space="preserve">Культура, </w:t>
            </w:r>
            <w:r w:rsidRPr="008B51E2">
              <w:rPr>
                <w:bCs/>
                <w:color w:val="000000"/>
                <w:sz w:val="20"/>
                <w:szCs w:val="20"/>
              </w:rPr>
              <w:lastRenderedPageBreak/>
              <w:t xml:space="preserve">кинематография </w:t>
            </w: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724,4</w:t>
            </w:r>
          </w:p>
        </w:tc>
        <w:tc>
          <w:tcPr>
            <w:tcW w:w="466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465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384,5</w:t>
            </w:r>
          </w:p>
        </w:tc>
        <w:tc>
          <w:tcPr>
            <w:tcW w:w="398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338,0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1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32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480" w:type="pct"/>
            <w:shd w:val="clear" w:color="auto" w:fill="auto"/>
          </w:tcPr>
          <w:p w:rsidR="00422BC7" w:rsidRPr="008B51E2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-8,0</w:t>
            </w:r>
          </w:p>
        </w:tc>
        <w:tc>
          <w:tcPr>
            <w:tcW w:w="333" w:type="pct"/>
            <w:shd w:val="clear" w:color="auto" w:fill="auto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</w:p>
        </w:tc>
      </w:tr>
      <w:tr w:rsidR="00422BC7" w:rsidRPr="008B51E2" w:rsidTr="00EA5BBC">
        <w:tc>
          <w:tcPr>
            <w:tcW w:w="798" w:type="pct"/>
            <w:shd w:val="clear" w:color="auto" w:fill="auto"/>
          </w:tcPr>
          <w:p w:rsidR="00422BC7" w:rsidRPr="008B51E2" w:rsidRDefault="00422BC7" w:rsidP="00AD574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6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5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398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41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422BC7" w:rsidRPr="008B51E2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-10,0</w:t>
            </w:r>
          </w:p>
        </w:tc>
        <w:tc>
          <w:tcPr>
            <w:tcW w:w="333" w:type="pct"/>
            <w:shd w:val="clear" w:color="auto" w:fill="auto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</w:p>
        </w:tc>
      </w:tr>
      <w:tr w:rsidR="00422BC7" w:rsidRPr="008B51E2" w:rsidTr="00EA5BBC">
        <w:tc>
          <w:tcPr>
            <w:tcW w:w="798" w:type="pct"/>
            <w:shd w:val="clear" w:color="auto" w:fill="auto"/>
          </w:tcPr>
          <w:p w:rsidR="00422BC7" w:rsidRPr="008B51E2" w:rsidRDefault="00422BC7" w:rsidP="00AD574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3578,5</w:t>
            </w:r>
          </w:p>
        </w:tc>
        <w:tc>
          <w:tcPr>
            <w:tcW w:w="466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465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3503,4</w:t>
            </w:r>
          </w:p>
        </w:tc>
        <w:tc>
          <w:tcPr>
            <w:tcW w:w="398" w:type="pct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2237,0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41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1030,0</w:t>
            </w:r>
          </w:p>
        </w:tc>
        <w:tc>
          <w:tcPr>
            <w:tcW w:w="32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480" w:type="pct"/>
            <w:shd w:val="clear" w:color="auto" w:fill="auto"/>
          </w:tcPr>
          <w:p w:rsidR="00422BC7" w:rsidRPr="008B51E2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-1207</w:t>
            </w:r>
          </w:p>
        </w:tc>
        <w:tc>
          <w:tcPr>
            <w:tcW w:w="333" w:type="pct"/>
            <w:shd w:val="clear" w:color="auto" w:fill="auto"/>
          </w:tcPr>
          <w:p w:rsidR="00422BC7" w:rsidRPr="008B51E2" w:rsidRDefault="00EF0AB3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-54,0</w:t>
            </w:r>
          </w:p>
        </w:tc>
      </w:tr>
      <w:tr w:rsidR="00422BC7" w:rsidRPr="008B51E2" w:rsidTr="00EA5BBC">
        <w:trPr>
          <w:trHeight w:val="385"/>
        </w:trPr>
        <w:tc>
          <w:tcPr>
            <w:tcW w:w="798" w:type="pct"/>
            <w:shd w:val="clear" w:color="auto" w:fill="auto"/>
          </w:tcPr>
          <w:p w:rsidR="00422BC7" w:rsidRPr="008B51E2" w:rsidRDefault="00422BC7" w:rsidP="00AD574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339,8</w:t>
            </w:r>
          </w:p>
        </w:tc>
        <w:tc>
          <w:tcPr>
            <w:tcW w:w="466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465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8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1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320" w:type="pct"/>
          </w:tcPr>
          <w:p w:rsidR="00422BC7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480" w:type="pct"/>
            <w:shd w:val="clear" w:color="auto" w:fill="auto"/>
          </w:tcPr>
          <w:p w:rsidR="00422BC7" w:rsidRPr="008B51E2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</w:p>
        </w:tc>
      </w:tr>
      <w:tr w:rsidR="00422BC7" w:rsidRPr="008B51E2" w:rsidTr="00EA5BBC">
        <w:tc>
          <w:tcPr>
            <w:tcW w:w="798" w:type="pct"/>
            <w:shd w:val="clear" w:color="auto" w:fill="auto"/>
          </w:tcPr>
          <w:p w:rsidR="00422BC7" w:rsidRPr="008B51E2" w:rsidRDefault="00422BC7" w:rsidP="00AD574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8B51E2">
              <w:rPr>
                <w:bCs/>
                <w:color w:val="000000"/>
                <w:sz w:val="20"/>
                <w:szCs w:val="20"/>
              </w:rPr>
              <w:t>Иные бюджетные ассигнования (средства массовой информации)</w:t>
            </w:r>
          </w:p>
        </w:tc>
        <w:tc>
          <w:tcPr>
            <w:tcW w:w="465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1877,5</w:t>
            </w:r>
          </w:p>
        </w:tc>
        <w:tc>
          <w:tcPr>
            <w:tcW w:w="466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465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1762,6</w:t>
            </w:r>
          </w:p>
        </w:tc>
        <w:tc>
          <w:tcPr>
            <w:tcW w:w="398" w:type="pct"/>
          </w:tcPr>
          <w:p w:rsidR="00422BC7" w:rsidRPr="008B51E2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41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320" w:type="pct"/>
          </w:tcPr>
          <w:p w:rsidR="00422BC7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480" w:type="pct"/>
            <w:shd w:val="clear" w:color="auto" w:fill="auto"/>
          </w:tcPr>
          <w:p w:rsidR="00422BC7" w:rsidRPr="008B51E2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</w:p>
        </w:tc>
      </w:tr>
      <w:tr w:rsidR="00422BC7" w:rsidRPr="008B51E2" w:rsidTr="00EA5BBC">
        <w:tc>
          <w:tcPr>
            <w:tcW w:w="798" w:type="pct"/>
            <w:shd w:val="clear" w:color="auto" w:fill="auto"/>
          </w:tcPr>
          <w:p w:rsidR="00422BC7" w:rsidRPr="008B51E2" w:rsidRDefault="00422BC7" w:rsidP="00AD574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Прочие межбюджетные тран</w:t>
            </w:r>
            <w:r w:rsidR="001C6F18">
              <w:rPr>
                <w:bCs/>
                <w:color w:val="000000"/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>ферты</w:t>
            </w:r>
          </w:p>
        </w:tc>
        <w:tc>
          <w:tcPr>
            <w:tcW w:w="465" w:type="pct"/>
          </w:tcPr>
          <w:p w:rsidR="00422BC7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</w:t>
            </w:r>
          </w:p>
        </w:tc>
        <w:tc>
          <w:tcPr>
            <w:tcW w:w="466" w:type="pct"/>
          </w:tcPr>
          <w:p w:rsidR="00422BC7" w:rsidRPr="008B51E2" w:rsidRDefault="00422BC7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465" w:type="pct"/>
          </w:tcPr>
          <w:p w:rsidR="00422BC7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398" w:type="pct"/>
          </w:tcPr>
          <w:p w:rsidR="00422BC7" w:rsidRDefault="00B8301D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</w:t>
            </w:r>
          </w:p>
        </w:tc>
        <w:tc>
          <w:tcPr>
            <w:tcW w:w="435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0" w:type="pct"/>
            <w:shd w:val="clear" w:color="auto" w:fill="auto"/>
          </w:tcPr>
          <w:p w:rsidR="00422BC7" w:rsidRPr="008B51E2" w:rsidRDefault="000126BF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0" w:type="pct"/>
          </w:tcPr>
          <w:p w:rsidR="00422BC7" w:rsidRDefault="00A93D0A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0" w:type="pct"/>
          </w:tcPr>
          <w:p w:rsidR="00422BC7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422BC7" w:rsidRDefault="00EA5BBC" w:rsidP="00AD5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422BC7" w:rsidRDefault="00422BC7" w:rsidP="00AD5742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5742" w:rsidRDefault="00AD5742" w:rsidP="00AD5742">
      <w:pPr>
        <w:rPr>
          <w:szCs w:val="28"/>
        </w:rPr>
      </w:pPr>
      <w:r>
        <w:rPr>
          <w:b/>
          <w:szCs w:val="28"/>
        </w:rPr>
        <w:t xml:space="preserve">              </w:t>
      </w:r>
      <w:r w:rsidRPr="000D6E5A">
        <w:rPr>
          <w:szCs w:val="28"/>
        </w:rPr>
        <w:t xml:space="preserve">                  </w:t>
      </w:r>
      <w:r>
        <w:rPr>
          <w:szCs w:val="28"/>
        </w:rPr>
        <w:t xml:space="preserve">                         </w:t>
      </w:r>
      <w:r w:rsidRPr="000D6E5A">
        <w:rPr>
          <w:szCs w:val="28"/>
        </w:rPr>
        <w:t xml:space="preserve"> </w:t>
      </w:r>
    </w:p>
    <w:p w:rsidR="00AD5742" w:rsidRDefault="00AD5742" w:rsidP="00AD5742">
      <w:pPr>
        <w:jc w:val="center"/>
        <w:rPr>
          <w:b/>
          <w:szCs w:val="28"/>
        </w:rPr>
      </w:pPr>
      <w:r w:rsidRPr="000D6E5A">
        <w:rPr>
          <w:b/>
          <w:szCs w:val="28"/>
        </w:rPr>
        <w:t xml:space="preserve">  </w:t>
      </w:r>
      <w:r>
        <w:rPr>
          <w:b/>
          <w:szCs w:val="28"/>
        </w:rPr>
        <w:t>«Общегосударственные вопросы»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Pr="00EA033D" w:rsidRDefault="006E3C9E" w:rsidP="00AD5742">
      <w:pPr>
        <w:jc w:val="both"/>
        <w:rPr>
          <w:b/>
          <w:color w:val="C00000"/>
          <w:szCs w:val="28"/>
        </w:rPr>
      </w:pPr>
      <w:r>
        <w:rPr>
          <w:szCs w:val="28"/>
        </w:rPr>
        <w:t xml:space="preserve">         Расходы бюджета 2023</w:t>
      </w:r>
      <w:r w:rsidR="00AD5742" w:rsidRPr="00D43BE7">
        <w:rPr>
          <w:szCs w:val="28"/>
        </w:rPr>
        <w:t xml:space="preserve"> года по разделу "Общегосуд</w:t>
      </w:r>
      <w:r w:rsidR="00AD5742">
        <w:rPr>
          <w:szCs w:val="28"/>
        </w:rPr>
        <w:t xml:space="preserve">арственные вопросы" составят </w:t>
      </w:r>
      <w:r>
        <w:rPr>
          <w:szCs w:val="28"/>
        </w:rPr>
        <w:t>19050,0</w:t>
      </w:r>
      <w:r w:rsidR="00AD5742">
        <w:rPr>
          <w:szCs w:val="28"/>
        </w:rPr>
        <w:t xml:space="preserve"> тыс. руб.</w:t>
      </w:r>
    </w:p>
    <w:p w:rsidR="00AD5742" w:rsidRDefault="00AD5742" w:rsidP="00AD5742">
      <w:pPr>
        <w:ind w:firstLine="601"/>
        <w:jc w:val="both"/>
      </w:pPr>
      <w:r w:rsidRPr="00FE13FB">
        <w:rPr>
          <w:spacing w:val="-2"/>
          <w:szCs w:val="20"/>
        </w:rPr>
        <w:t xml:space="preserve">Бюджетные ассигнования бюджета по разделу «Общегосударственные вопросы» характеризуются следующими данными </w:t>
      </w:r>
      <w:r>
        <w:rPr>
          <w:szCs w:val="20"/>
        </w:rPr>
        <w:t>(таблица №4</w:t>
      </w:r>
      <w:r w:rsidRPr="00FE13FB">
        <w:rPr>
          <w:szCs w:val="20"/>
        </w:rPr>
        <w:t>):</w:t>
      </w:r>
    </w:p>
    <w:p w:rsidR="00AD5742" w:rsidRDefault="00AD5742" w:rsidP="00AD5742">
      <w:pPr>
        <w:ind w:firstLine="601"/>
        <w:jc w:val="both"/>
      </w:pPr>
    </w:p>
    <w:p w:rsidR="00AD5742" w:rsidRPr="000D6E5A" w:rsidRDefault="00AD5742" w:rsidP="00AD5742">
      <w:pPr>
        <w:spacing w:line="360" w:lineRule="auto"/>
        <w:ind w:firstLine="601"/>
        <w:jc w:val="center"/>
      </w:pPr>
      <w:r w:rsidRPr="00687C2F">
        <w:t>Таблица №4</w:t>
      </w:r>
      <w:r w:rsidRPr="00FE13F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tbl>
      <w:tblPr>
        <w:tblW w:w="936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392"/>
        <w:gridCol w:w="1276"/>
        <w:gridCol w:w="1134"/>
        <w:gridCol w:w="1559"/>
      </w:tblGrid>
      <w:tr w:rsidR="00AD5742" w:rsidRPr="00D43BE7" w:rsidTr="00AD5742">
        <w:trPr>
          <w:trHeight w:val="90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42" w:rsidRPr="00D43BE7" w:rsidRDefault="00AD5742" w:rsidP="00AD5742">
            <w:pPr>
              <w:ind w:right="-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42" w:rsidRPr="00D43BE7" w:rsidRDefault="006E3C9E" w:rsidP="00AD5742">
            <w:pPr>
              <w:ind w:right="-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Отчет 2021</w:t>
            </w:r>
            <w:r w:rsidR="00AD5742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5742" w:rsidRPr="00D43BE7" w:rsidRDefault="006E3C9E" w:rsidP="00AD5742">
            <w:pPr>
              <w:ind w:right="-2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Уточ</w:t>
            </w:r>
            <w:proofErr w:type="spellEnd"/>
            <w:r>
              <w:rPr>
                <w:bCs/>
                <w:sz w:val="24"/>
                <w:szCs w:val="24"/>
              </w:rPr>
              <w:t>. план на 2022</w:t>
            </w:r>
            <w:r w:rsidR="00AD5742" w:rsidRPr="00D43BE7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5742" w:rsidRPr="00D43BE7" w:rsidRDefault="00AD5742" w:rsidP="00AD5742">
            <w:pPr>
              <w:ind w:right="-2"/>
              <w:jc w:val="center"/>
              <w:rPr>
                <w:bCs/>
                <w:sz w:val="24"/>
                <w:szCs w:val="24"/>
              </w:rPr>
            </w:pPr>
          </w:p>
          <w:p w:rsidR="00AD5742" w:rsidRPr="00D43BE7" w:rsidRDefault="006E3C9E" w:rsidP="00AD5742">
            <w:pPr>
              <w:ind w:right="-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  <w:r w:rsidR="00AD5742" w:rsidRPr="00D43BE7">
              <w:rPr>
                <w:bCs/>
                <w:sz w:val="24"/>
                <w:szCs w:val="24"/>
              </w:rPr>
              <w:t xml:space="preserve"> год</w:t>
            </w:r>
          </w:p>
          <w:p w:rsidR="00AD5742" w:rsidRPr="00D43BE7" w:rsidRDefault="00AD5742" w:rsidP="00AD5742">
            <w:pPr>
              <w:ind w:right="-2"/>
              <w:jc w:val="center"/>
              <w:rPr>
                <w:bCs/>
                <w:sz w:val="24"/>
                <w:szCs w:val="24"/>
              </w:rPr>
            </w:pPr>
            <w:r w:rsidRPr="00D43BE7">
              <w:rPr>
                <w:bCs/>
                <w:sz w:val="24"/>
                <w:szCs w:val="24"/>
              </w:rPr>
              <w:t>план</w:t>
            </w:r>
          </w:p>
        </w:tc>
      </w:tr>
      <w:tr w:rsidR="00AD5742" w:rsidRPr="00035AA4" w:rsidTr="00AD5742">
        <w:trPr>
          <w:trHeight w:val="8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035AA4" w:rsidRDefault="00AD5742" w:rsidP="00AD5742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035AA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  <w:p w:rsidR="00AD5742" w:rsidRPr="00035AA4" w:rsidRDefault="00AD5742" w:rsidP="00AD5742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Default="00AD5742" w:rsidP="00AD5742">
            <w:pPr>
              <w:spacing w:after="200"/>
              <w:jc w:val="center"/>
              <w:rPr>
                <w:b/>
                <w:bCs/>
                <w:sz w:val="24"/>
                <w:szCs w:val="24"/>
              </w:rPr>
            </w:pPr>
          </w:p>
          <w:p w:rsidR="00AD5742" w:rsidRPr="00035AA4" w:rsidRDefault="006E3C9E" w:rsidP="00AD5742">
            <w:pPr>
              <w:ind w:right="-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742" w:rsidRPr="00035AA4" w:rsidRDefault="00576DAD" w:rsidP="00AD57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15632,7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742" w:rsidRPr="00035AA4" w:rsidRDefault="00576DAD" w:rsidP="00AD57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19050,0</w:t>
            </w:r>
          </w:p>
        </w:tc>
      </w:tr>
      <w:tr w:rsidR="00AD5742" w:rsidRPr="00035AA4" w:rsidTr="00AD5742">
        <w:trPr>
          <w:trHeight w:val="74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035AA4" w:rsidRDefault="00AD5742" w:rsidP="00AD5742">
            <w:pPr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035AA4" w:rsidRDefault="006E3C9E" w:rsidP="00AD5742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742" w:rsidRPr="00035AA4" w:rsidRDefault="00576DAD" w:rsidP="00AD574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742" w:rsidRPr="00035AA4" w:rsidRDefault="00576DAD" w:rsidP="00AD574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</w:tr>
      <w:tr w:rsidR="00AD5742" w:rsidRPr="00035AA4" w:rsidTr="00AD5742">
        <w:trPr>
          <w:trHeight w:val="9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035AA4" w:rsidRDefault="00AD5742" w:rsidP="00AD5742">
            <w:pPr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035AA4" w:rsidRDefault="006E3C9E" w:rsidP="00AD5742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742" w:rsidRPr="00035AA4" w:rsidRDefault="00576DAD" w:rsidP="00AD574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742" w:rsidRPr="00035AA4" w:rsidRDefault="00576DAD" w:rsidP="00AD574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610,0</w:t>
            </w:r>
          </w:p>
        </w:tc>
      </w:tr>
      <w:tr w:rsidR="00AD5742" w:rsidRPr="00035AA4" w:rsidTr="00AD5742">
        <w:trPr>
          <w:trHeight w:val="112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035AA4" w:rsidRDefault="00AD5742" w:rsidP="00AD5742">
            <w:pPr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035AA4" w:rsidRDefault="00576DAD" w:rsidP="00AD5742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742" w:rsidRPr="00035AA4" w:rsidRDefault="00576DAD" w:rsidP="00AD574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12245,0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742" w:rsidRPr="00035AA4" w:rsidRDefault="00C76A65" w:rsidP="00AD574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13290,0</w:t>
            </w:r>
          </w:p>
        </w:tc>
      </w:tr>
      <w:tr w:rsidR="00AD5742" w:rsidRPr="00035AA4" w:rsidTr="00AD5742">
        <w:trPr>
          <w:trHeight w:val="9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035AA4" w:rsidRDefault="00AD5742" w:rsidP="00AD5742">
            <w:pPr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035AA4" w:rsidRDefault="006E3C9E" w:rsidP="00AD5742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742" w:rsidRPr="00035AA4" w:rsidRDefault="00576DAD" w:rsidP="00AD574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742" w:rsidRPr="00035AA4" w:rsidRDefault="00C76A65" w:rsidP="00AD574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1950,0</w:t>
            </w:r>
          </w:p>
        </w:tc>
      </w:tr>
      <w:tr w:rsidR="00AD5742" w:rsidRPr="00035AA4" w:rsidTr="00AD5742">
        <w:trPr>
          <w:trHeight w:val="22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035AA4" w:rsidRDefault="00AD5742" w:rsidP="00AD5742">
            <w:pPr>
              <w:ind w:right="-2"/>
              <w:jc w:val="both"/>
              <w:rPr>
                <w:sz w:val="24"/>
                <w:szCs w:val="24"/>
              </w:rPr>
            </w:pPr>
            <w:r w:rsidRPr="00035AA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035AA4" w:rsidRDefault="006E3C9E" w:rsidP="00AD5742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5742" w:rsidRPr="00035AA4" w:rsidRDefault="00576DAD" w:rsidP="00AD574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742" w:rsidRPr="00035AA4" w:rsidRDefault="00C76A65" w:rsidP="00AD5742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</w:tr>
    </w:tbl>
    <w:p w:rsidR="00AD5742" w:rsidRPr="00516A75" w:rsidRDefault="00AD5742" w:rsidP="00AD5742">
      <w:pPr>
        <w:jc w:val="both"/>
        <w:rPr>
          <w:b/>
          <w:sz w:val="24"/>
          <w:szCs w:val="24"/>
        </w:rPr>
      </w:pPr>
    </w:p>
    <w:p w:rsidR="00AD5742" w:rsidRPr="00D43BE7" w:rsidRDefault="00AD5742" w:rsidP="00AD5742">
      <w:pPr>
        <w:jc w:val="both"/>
        <w:rPr>
          <w:szCs w:val="28"/>
        </w:rPr>
      </w:pPr>
      <w:r w:rsidRPr="00D43BE7">
        <w:rPr>
          <w:szCs w:val="28"/>
        </w:rPr>
        <w:t xml:space="preserve">    </w:t>
      </w:r>
      <w:r>
        <w:rPr>
          <w:szCs w:val="28"/>
        </w:rPr>
        <w:t xml:space="preserve">            </w:t>
      </w:r>
    </w:p>
    <w:p w:rsidR="00AD5742" w:rsidRPr="00C13814" w:rsidRDefault="00AD5742" w:rsidP="00AD5742">
      <w:pPr>
        <w:pStyle w:val="a7"/>
        <w:ind w:left="0"/>
        <w:jc w:val="both"/>
        <w:rPr>
          <w:szCs w:val="28"/>
        </w:rPr>
      </w:pPr>
      <w:r w:rsidRPr="0014048A">
        <w:rPr>
          <w:szCs w:val="28"/>
        </w:rPr>
        <w:t xml:space="preserve">        </w:t>
      </w:r>
      <w:r w:rsidR="006E70D8">
        <w:rPr>
          <w:szCs w:val="28"/>
        </w:rPr>
        <w:t xml:space="preserve">     </w:t>
      </w:r>
      <w:r>
        <w:rPr>
          <w:szCs w:val="28"/>
        </w:rPr>
        <w:t xml:space="preserve">  </w:t>
      </w:r>
      <w:r w:rsidRPr="0014048A">
        <w:rPr>
          <w:szCs w:val="28"/>
        </w:rPr>
        <w:t>Определение объема расходов по указанным выше подразделам</w:t>
      </w:r>
      <w:r w:rsidRPr="0014048A">
        <w:rPr>
          <w:b/>
          <w:szCs w:val="28"/>
        </w:rPr>
        <w:t xml:space="preserve"> </w:t>
      </w:r>
      <w:r w:rsidRPr="0014048A">
        <w:rPr>
          <w:szCs w:val="28"/>
        </w:rPr>
        <w:t>осуществлялось в соответствии с действующей структурой органов местного самоуправления. Расходы на оплату труда предусмотрены исходя из действующего штатного расписания, разработанного в соответствии с Положением «О денежном вознаграждении и денежном</w:t>
      </w:r>
      <w:r>
        <w:rPr>
          <w:szCs w:val="28"/>
        </w:rPr>
        <w:t xml:space="preserve"> </w:t>
      </w:r>
      <w:r w:rsidRPr="0014048A">
        <w:rPr>
          <w:szCs w:val="28"/>
        </w:rPr>
        <w:t xml:space="preserve">поощрении лиц, </w:t>
      </w:r>
      <w:r w:rsidRPr="0014048A">
        <w:rPr>
          <w:szCs w:val="28"/>
        </w:rPr>
        <w:lastRenderedPageBreak/>
        <w:t xml:space="preserve">замещающих муниципальные должности и денежном содержании лиц, замещающих должности муниципальной службы </w:t>
      </w:r>
      <w:proofErr w:type="spellStart"/>
      <w:r w:rsidRPr="0014048A">
        <w:rPr>
          <w:szCs w:val="28"/>
        </w:rPr>
        <w:t>Бесланского</w:t>
      </w:r>
      <w:proofErr w:type="spellEnd"/>
      <w:r w:rsidRPr="0014048A">
        <w:rPr>
          <w:szCs w:val="28"/>
        </w:rPr>
        <w:t xml:space="preserve"> городского поселения»</w:t>
      </w:r>
      <w:r>
        <w:t xml:space="preserve">, а </w:t>
      </w:r>
      <w:r w:rsidRPr="00C13814">
        <w:rPr>
          <w:bCs/>
          <w:iCs/>
          <w:spacing w:val="-7"/>
          <w:szCs w:val="28"/>
        </w:rPr>
        <w:t xml:space="preserve">также обеспечения выплаты заработной платы не ниже законодательно устанавливаемого </w:t>
      </w:r>
      <w:r>
        <w:rPr>
          <w:bCs/>
          <w:iCs/>
          <w:spacing w:val="-7"/>
          <w:szCs w:val="28"/>
        </w:rPr>
        <w:t>минимальн</w:t>
      </w:r>
      <w:r w:rsidRPr="002F0690">
        <w:rPr>
          <w:bCs/>
          <w:iCs/>
          <w:spacing w:val="-7"/>
          <w:szCs w:val="28"/>
        </w:rPr>
        <w:t>ого</w:t>
      </w:r>
      <w:r>
        <w:rPr>
          <w:bCs/>
          <w:iCs/>
          <w:spacing w:val="-7"/>
          <w:szCs w:val="28"/>
        </w:rPr>
        <w:t xml:space="preserve"> </w:t>
      </w:r>
      <w:proofErr w:type="gramStart"/>
      <w:r>
        <w:rPr>
          <w:bCs/>
          <w:iCs/>
          <w:spacing w:val="-7"/>
          <w:szCs w:val="28"/>
        </w:rPr>
        <w:t>размера</w:t>
      </w:r>
      <w:r w:rsidR="00003214">
        <w:rPr>
          <w:bCs/>
          <w:iCs/>
          <w:spacing w:val="-7"/>
          <w:szCs w:val="28"/>
        </w:rPr>
        <w:t xml:space="preserve"> оплаты труда</w:t>
      </w:r>
      <w:proofErr w:type="gramEnd"/>
      <w:r w:rsidR="00003214">
        <w:rPr>
          <w:bCs/>
          <w:iCs/>
          <w:spacing w:val="-7"/>
          <w:szCs w:val="28"/>
        </w:rPr>
        <w:t>.</w:t>
      </w:r>
    </w:p>
    <w:p w:rsidR="00AD5742" w:rsidRDefault="00AD5742" w:rsidP="00AD5742">
      <w:pPr>
        <w:jc w:val="both"/>
        <w:rPr>
          <w:b/>
          <w:szCs w:val="28"/>
        </w:rPr>
      </w:pPr>
      <w:r w:rsidRPr="00D43BE7">
        <w:rPr>
          <w:szCs w:val="28"/>
        </w:rPr>
        <w:t xml:space="preserve">                По подразделу  "Резервные фонды" определен общий</w:t>
      </w:r>
      <w:r w:rsidR="006E70D8">
        <w:rPr>
          <w:szCs w:val="28"/>
        </w:rPr>
        <w:t xml:space="preserve"> объем  резервного фонда на 2023</w:t>
      </w:r>
      <w:r w:rsidRPr="00D43BE7">
        <w:rPr>
          <w:szCs w:val="28"/>
        </w:rPr>
        <w:t xml:space="preserve"> год в сумме 2000</w:t>
      </w:r>
      <w:r>
        <w:rPr>
          <w:szCs w:val="28"/>
        </w:rPr>
        <w:t>,0</w:t>
      </w:r>
      <w:r w:rsidRPr="00D43BE7">
        <w:rPr>
          <w:szCs w:val="28"/>
        </w:rPr>
        <w:t>тыс. руб.  Предусмотренный в проекте Решения  объем резервного фонда  соответствует требованиям п. 3, ст.81 БК РФ.</w:t>
      </w:r>
      <w:r w:rsidRPr="00D43BE7">
        <w:rPr>
          <w:rFonts w:ascii="Arial" w:hAnsi="Arial" w:cs="Arial"/>
          <w:sz w:val="30"/>
          <w:szCs w:val="30"/>
        </w:rPr>
        <w:t xml:space="preserve"> </w:t>
      </w:r>
      <w:r w:rsidRPr="00D43BE7">
        <w:rPr>
          <w:szCs w:val="28"/>
        </w:rPr>
        <w:t>Указанные средства предполагается направить на финансирование непредвиденных расходов и мероприятий, не включенных в бюджет поселения на соответствующий финансовый год, в соответствии с порядком расходования резервного фонда, установленного Постановлением администрации.</w:t>
      </w:r>
    </w:p>
    <w:p w:rsidR="00AD5742" w:rsidRDefault="00AD5742" w:rsidP="00AD5742">
      <w:pPr>
        <w:jc w:val="center"/>
        <w:rPr>
          <w:b/>
          <w:szCs w:val="28"/>
        </w:rPr>
      </w:pPr>
      <w:r>
        <w:rPr>
          <w:b/>
          <w:szCs w:val="28"/>
        </w:rPr>
        <w:t>«Национальная экономика»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Default="00AD5742" w:rsidP="00AD5742">
      <w:pPr>
        <w:ind w:firstLine="600"/>
        <w:jc w:val="both"/>
        <w:rPr>
          <w:b/>
          <w:szCs w:val="28"/>
        </w:rPr>
      </w:pPr>
      <w:r w:rsidRPr="00B52965">
        <w:rPr>
          <w:szCs w:val="20"/>
        </w:rPr>
        <w:t>Бюджетные ассигнования бюджета по разделу «</w:t>
      </w:r>
      <w:r>
        <w:rPr>
          <w:szCs w:val="20"/>
        </w:rPr>
        <w:t>Национальная экономика</w:t>
      </w:r>
      <w:r w:rsidRPr="00B52965">
        <w:rPr>
          <w:szCs w:val="20"/>
        </w:rPr>
        <w:t xml:space="preserve">» характеризуются следующими данными (таблица </w:t>
      </w:r>
      <w:r>
        <w:rPr>
          <w:szCs w:val="20"/>
        </w:rPr>
        <w:t>№5</w:t>
      </w:r>
      <w:r w:rsidRPr="00B52965">
        <w:rPr>
          <w:szCs w:val="20"/>
        </w:rPr>
        <w:t>):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Default="00AD5742" w:rsidP="00AD5742">
      <w:pPr>
        <w:jc w:val="center"/>
        <w:rPr>
          <w:szCs w:val="28"/>
        </w:rPr>
      </w:pPr>
      <w:r w:rsidRPr="00C00536">
        <w:rPr>
          <w:szCs w:val="28"/>
        </w:rPr>
        <w:t>Таблица №5</w:t>
      </w:r>
    </w:p>
    <w:p w:rsidR="00AD5742" w:rsidRPr="00C00536" w:rsidRDefault="00AD5742" w:rsidP="00AD5742">
      <w:pPr>
        <w:jc w:val="center"/>
        <w:rPr>
          <w:szCs w:val="28"/>
        </w:rPr>
      </w:pPr>
    </w:p>
    <w:tbl>
      <w:tblPr>
        <w:tblW w:w="737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842"/>
        <w:gridCol w:w="1702"/>
        <w:gridCol w:w="1843"/>
        <w:gridCol w:w="1985"/>
      </w:tblGrid>
      <w:tr w:rsidR="00AD5742" w:rsidRPr="00392AC2" w:rsidTr="00AD5742">
        <w:trPr>
          <w:trHeight w:val="499"/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42" w:rsidRPr="00392AC2" w:rsidRDefault="00AD5742" w:rsidP="00AD574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742" w:rsidRPr="00392AC2" w:rsidRDefault="006E70D8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  <w:r w:rsidR="00AD5742">
              <w:rPr>
                <w:bCs/>
                <w:sz w:val="20"/>
                <w:szCs w:val="20"/>
              </w:rPr>
              <w:t xml:space="preserve"> </w:t>
            </w:r>
            <w:r w:rsidR="00AD5742" w:rsidRPr="00392AC2">
              <w:rPr>
                <w:bCs/>
                <w:sz w:val="20"/>
                <w:szCs w:val="20"/>
              </w:rPr>
              <w:t>год</w:t>
            </w:r>
          </w:p>
          <w:p w:rsidR="00AD5742" w:rsidRPr="00392AC2" w:rsidRDefault="00AD5742" w:rsidP="00AD5742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392AC2">
              <w:rPr>
                <w:sz w:val="20"/>
                <w:szCs w:val="20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742" w:rsidRPr="00392AC2" w:rsidRDefault="006E70D8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  <w:r w:rsidR="00AD5742" w:rsidRPr="00392AC2">
              <w:rPr>
                <w:bCs/>
                <w:sz w:val="20"/>
                <w:szCs w:val="20"/>
              </w:rPr>
              <w:t xml:space="preserve"> год</w:t>
            </w:r>
          </w:p>
          <w:p w:rsidR="00AD5742" w:rsidRPr="00392AC2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92AC2">
              <w:rPr>
                <w:sz w:val="20"/>
                <w:szCs w:val="20"/>
              </w:rPr>
              <w:t>уточ</w:t>
            </w:r>
            <w:proofErr w:type="spellEnd"/>
            <w:r w:rsidRPr="00392AC2">
              <w:rPr>
                <w:sz w:val="20"/>
                <w:szCs w:val="20"/>
              </w:rPr>
              <w:t>. план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742" w:rsidRPr="00392AC2" w:rsidRDefault="006E70D8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  <w:r w:rsidR="00AD5742" w:rsidRPr="00392AC2">
              <w:rPr>
                <w:bCs/>
                <w:sz w:val="20"/>
                <w:szCs w:val="20"/>
              </w:rPr>
              <w:t>г</w:t>
            </w:r>
          </w:p>
          <w:p w:rsidR="00AD5742" w:rsidRPr="00392AC2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 w:rsidRPr="00392AC2">
              <w:rPr>
                <w:sz w:val="20"/>
                <w:szCs w:val="20"/>
              </w:rPr>
              <w:t>план</w:t>
            </w:r>
          </w:p>
        </w:tc>
      </w:tr>
      <w:tr w:rsidR="00AD5742" w:rsidRPr="00392AC2" w:rsidTr="00AD5742">
        <w:trPr>
          <w:trHeight w:val="563"/>
          <w:jc w:val="center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6E5497" w:rsidRDefault="00AD5742" w:rsidP="00AD5742">
            <w:pPr>
              <w:spacing w:line="276" w:lineRule="auto"/>
              <w:rPr>
                <w:bCs/>
                <w:sz w:val="20"/>
                <w:szCs w:val="20"/>
              </w:rPr>
            </w:pPr>
            <w:r w:rsidRPr="006E5497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392AC2" w:rsidRDefault="00AD5742" w:rsidP="00AD5742">
            <w:pPr>
              <w:jc w:val="center"/>
              <w:rPr>
                <w:bCs/>
                <w:sz w:val="20"/>
                <w:szCs w:val="20"/>
              </w:rPr>
            </w:pPr>
          </w:p>
          <w:p w:rsidR="00AD5742" w:rsidRPr="00392AC2" w:rsidRDefault="006E70D8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742" w:rsidRPr="00392AC2" w:rsidRDefault="00AD5742" w:rsidP="00AD5742">
            <w:pPr>
              <w:jc w:val="center"/>
              <w:rPr>
                <w:bCs/>
                <w:sz w:val="20"/>
                <w:szCs w:val="20"/>
              </w:rPr>
            </w:pPr>
          </w:p>
          <w:p w:rsidR="00AD5742" w:rsidRPr="00392AC2" w:rsidRDefault="006E70D8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2090,0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5742" w:rsidRPr="00392AC2" w:rsidRDefault="00AD5742" w:rsidP="00AD5742">
            <w:pPr>
              <w:jc w:val="center"/>
              <w:rPr>
                <w:bCs/>
                <w:sz w:val="20"/>
                <w:szCs w:val="20"/>
              </w:rPr>
            </w:pPr>
          </w:p>
          <w:p w:rsidR="00AD5742" w:rsidRDefault="006E70D8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2520</w:t>
            </w:r>
          </w:p>
          <w:p w:rsidR="006E70D8" w:rsidRPr="00392AC2" w:rsidRDefault="006E70D8" w:rsidP="006E70D8">
            <w:pPr>
              <w:rPr>
                <w:bCs/>
                <w:sz w:val="20"/>
                <w:szCs w:val="20"/>
              </w:rPr>
            </w:pPr>
          </w:p>
        </w:tc>
      </w:tr>
    </w:tbl>
    <w:p w:rsidR="00AD5742" w:rsidRDefault="00AD5742" w:rsidP="00AD5742">
      <w:pPr>
        <w:jc w:val="center"/>
        <w:rPr>
          <w:b/>
          <w:szCs w:val="28"/>
        </w:rPr>
      </w:pPr>
    </w:p>
    <w:p w:rsidR="00AD5742" w:rsidRDefault="00AD5742" w:rsidP="00AD5742">
      <w:pPr>
        <w:ind w:left="180" w:firstLine="360"/>
        <w:jc w:val="both"/>
        <w:rPr>
          <w:b/>
          <w:szCs w:val="28"/>
        </w:rPr>
      </w:pPr>
      <w:r w:rsidRPr="00F65B67">
        <w:rPr>
          <w:szCs w:val="28"/>
        </w:rPr>
        <w:t xml:space="preserve">Расходы муниципального бюджета по разделу «Национальная экономика» включают в себя расходы </w:t>
      </w:r>
      <w:r>
        <w:rPr>
          <w:szCs w:val="28"/>
        </w:rPr>
        <w:t>по проведению комплексных кадастровых работ,</w:t>
      </w:r>
      <w:r w:rsidRPr="00F65B67">
        <w:rPr>
          <w:szCs w:val="28"/>
        </w:rPr>
        <w:t xml:space="preserve"> </w:t>
      </w:r>
      <w:r>
        <w:rPr>
          <w:color w:val="000000"/>
          <w:szCs w:val="28"/>
        </w:rPr>
        <w:t xml:space="preserve">что составило </w:t>
      </w:r>
      <w:r w:rsidR="006E70D8">
        <w:rPr>
          <w:color w:val="000000"/>
          <w:szCs w:val="28"/>
        </w:rPr>
        <w:t xml:space="preserve">2520,0 </w:t>
      </w:r>
      <w:r w:rsidRPr="00F65B67">
        <w:rPr>
          <w:color w:val="000000"/>
          <w:szCs w:val="28"/>
        </w:rPr>
        <w:t>тыс. рублей.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Default="00AD5742" w:rsidP="00AD5742">
      <w:pPr>
        <w:jc w:val="center"/>
        <w:rPr>
          <w:b/>
          <w:szCs w:val="28"/>
        </w:rPr>
      </w:pPr>
      <w:r w:rsidRPr="008D28A6">
        <w:rPr>
          <w:b/>
          <w:szCs w:val="28"/>
        </w:rPr>
        <w:t>"</w:t>
      </w:r>
      <w:r>
        <w:rPr>
          <w:b/>
          <w:szCs w:val="28"/>
        </w:rPr>
        <w:t>ЖКХ</w:t>
      </w:r>
      <w:r w:rsidRPr="008D28A6">
        <w:rPr>
          <w:b/>
          <w:szCs w:val="28"/>
        </w:rPr>
        <w:t>"</w:t>
      </w:r>
      <w:r>
        <w:rPr>
          <w:b/>
          <w:szCs w:val="28"/>
        </w:rPr>
        <w:t>.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Pr="008473E3" w:rsidRDefault="00AD5742" w:rsidP="00AD5742">
      <w:pPr>
        <w:ind w:firstLine="601"/>
        <w:jc w:val="both"/>
        <w:rPr>
          <w:szCs w:val="20"/>
        </w:rPr>
      </w:pPr>
      <w:r w:rsidRPr="008473E3">
        <w:rPr>
          <w:szCs w:val="20"/>
        </w:rPr>
        <w:t xml:space="preserve">Бюджетные ассигнования бюджета по разделу </w:t>
      </w:r>
      <w:r>
        <w:rPr>
          <w:szCs w:val="20"/>
        </w:rPr>
        <w:t xml:space="preserve"> </w:t>
      </w:r>
      <w:r w:rsidRPr="008473E3">
        <w:rPr>
          <w:szCs w:val="20"/>
        </w:rPr>
        <w:t>«</w:t>
      </w:r>
      <w:r>
        <w:rPr>
          <w:szCs w:val="20"/>
        </w:rPr>
        <w:t>ЖКХ</w:t>
      </w:r>
      <w:r w:rsidRPr="008473E3">
        <w:rPr>
          <w:szCs w:val="20"/>
        </w:rPr>
        <w:t xml:space="preserve">» </w:t>
      </w:r>
      <w:r>
        <w:rPr>
          <w:szCs w:val="20"/>
        </w:rPr>
        <w:t xml:space="preserve"> </w:t>
      </w:r>
      <w:r w:rsidRPr="008473E3">
        <w:rPr>
          <w:szCs w:val="20"/>
        </w:rPr>
        <w:t>характеризуются следующими данны</w:t>
      </w:r>
      <w:r>
        <w:rPr>
          <w:szCs w:val="20"/>
        </w:rPr>
        <w:t>ми (таблица №6</w:t>
      </w:r>
      <w:r w:rsidRPr="008473E3">
        <w:rPr>
          <w:szCs w:val="20"/>
        </w:rPr>
        <w:t>):</w:t>
      </w:r>
    </w:p>
    <w:p w:rsidR="00AD5742" w:rsidRDefault="00AD5742" w:rsidP="00AD5742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</w:p>
    <w:p w:rsidR="00AD5742" w:rsidRPr="00C00536" w:rsidRDefault="00AD5742" w:rsidP="00AD5742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  <w:rPr>
          <w:szCs w:val="28"/>
        </w:rPr>
      </w:pPr>
      <w:r>
        <w:rPr>
          <w:szCs w:val="28"/>
        </w:rPr>
        <w:t>Таблица №6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701"/>
        <w:gridCol w:w="1276"/>
      </w:tblGrid>
      <w:tr w:rsidR="00AD5742" w:rsidRPr="00D43BE7" w:rsidTr="00AD5742">
        <w:trPr>
          <w:trHeight w:val="5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42" w:rsidRPr="00D43BE7" w:rsidRDefault="00AD5742" w:rsidP="00AD574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AD5742" w:rsidP="00AD57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</w:t>
            </w:r>
            <w:r w:rsidR="006E70D8">
              <w:rPr>
                <w:bCs/>
                <w:sz w:val="20"/>
                <w:szCs w:val="20"/>
              </w:rPr>
              <w:t>21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6E70D8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  <w:r w:rsidR="00AD5742"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43BE7">
              <w:rPr>
                <w:sz w:val="20"/>
                <w:szCs w:val="20"/>
              </w:rPr>
              <w:t>уточ</w:t>
            </w:r>
            <w:proofErr w:type="spellEnd"/>
            <w:r w:rsidRPr="00D43BE7">
              <w:rPr>
                <w:sz w:val="20"/>
                <w:szCs w:val="20"/>
              </w:rPr>
              <w:t>.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6E70D8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  <w:r w:rsidR="00AD5742" w:rsidRPr="00D43BE7">
              <w:rPr>
                <w:bCs/>
                <w:sz w:val="20"/>
                <w:szCs w:val="20"/>
              </w:rPr>
              <w:t>г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план</w:t>
            </w:r>
          </w:p>
        </w:tc>
      </w:tr>
      <w:tr w:rsidR="006E70D8" w:rsidRPr="004F17F3" w:rsidTr="008554BC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0D8" w:rsidRPr="004F17F3" w:rsidRDefault="006E70D8" w:rsidP="00AD5742">
            <w:pPr>
              <w:jc w:val="center"/>
              <w:rPr>
                <w:bCs/>
                <w:sz w:val="20"/>
                <w:szCs w:val="20"/>
              </w:rPr>
            </w:pPr>
            <w:r w:rsidRPr="004F17F3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0D8" w:rsidRPr="004F17F3" w:rsidRDefault="006E70D8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59670,8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70D8" w:rsidRPr="008B51E2" w:rsidRDefault="006E70D8" w:rsidP="00855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62657,3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70D8" w:rsidRPr="004F17F3" w:rsidRDefault="006E70D8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59700,0</w:t>
            </w:r>
          </w:p>
        </w:tc>
      </w:tr>
    </w:tbl>
    <w:p w:rsidR="00AD5742" w:rsidRDefault="00AD5742" w:rsidP="00AD5742">
      <w:pPr>
        <w:jc w:val="both"/>
        <w:rPr>
          <w:szCs w:val="28"/>
        </w:rPr>
      </w:pPr>
      <w:r>
        <w:rPr>
          <w:szCs w:val="28"/>
        </w:rPr>
        <w:t xml:space="preserve">      </w:t>
      </w:r>
    </w:p>
    <w:p w:rsidR="00AD5742" w:rsidRDefault="00AD5742" w:rsidP="00AD5742">
      <w:pPr>
        <w:jc w:val="both"/>
        <w:rPr>
          <w:szCs w:val="28"/>
        </w:rPr>
      </w:pPr>
    </w:p>
    <w:p w:rsidR="00AD5742" w:rsidRDefault="00AD5742" w:rsidP="00AD5742">
      <w:pPr>
        <w:jc w:val="both"/>
        <w:rPr>
          <w:b/>
          <w:szCs w:val="28"/>
        </w:rPr>
      </w:pPr>
      <w:r w:rsidRPr="000559A6">
        <w:rPr>
          <w:szCs w:val="28"/>
        </w:rPr>
        <w:t xml:space="preserve">           Отражаемые по указанному разделу расходы на обеспечение деятельности отраслей ЖКХ прогнозируются в сумме 59700,0</w:t>
      </w:r>
      <w:r>
        <w:rPr>
          <w:szCs w:val="28"/>
        </w:rPr>
        <w:t xml:space="preserve"> </w:t>
      </w:r>
      <w:r w:rsidRPr="000559A6">
        <w:rPr>
          <w:szCs w:val="28"/>
        </w:rPr>
        <w:t>тыс. руб. с</w:t>
      </w:r>
      <w:r>
        <w:rPr>
          <w:szCs w:val="28"/>
        </w:rPr>
        <w:t xml:space="preserve"> уменьшением к уточненному плану</w:t>
      </w:r>
      <w:r w:rsidR="006E70D8">
        <w:rPr>
          <w:szCs w:val="28"/>
        </w:rPr>
        <w:t xml:space="preserve"> на 2022</w:t>
      </w:r>
      <w:r>
        <w:rPr>
          <w:szCs w:val="28"/>
        </w:rPr>
        <w:t xml:space="preserve">г  на </w:t>
      </w:r>
      <w:r w:rsidR="006E70D8">
        <w:rPr>
          <w:szCs w:val="28"/>
        </w:rPr>
        <w:t xml:space="preserve">2957,3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p w:rsidR="00AD5742" w:rsidRPr="003E0039" w:rsidRDefault="00AD5742" w:rsidP="00AD5742">
      <w:pPr>
        <w:jc w:val="both"/>
      </w:pPr>
      <w:r w:rsidRPr="00310C29">
        <w:rPr>
          <w:szCs w:val="28"/>
        </w:rPr>
        <w:t xml:space="preserve">             </w:t>
      </w:r>
      <w:r w:rsidRPr="00F65B67">
        <w:rPr>
          <w:szCs w:val="28"/>
        </w:rPr>
        <w:t xml:space="preserve">Расходы муниципального бюджета по разделу «Жилищно-коммунальное хозяйство» </w:t>
      </w:r>
      <w:r>
        <w:rPr>
          <w:szCs w:val="28"/>
        </w:rPr>
        <w:t xml:space="preserve"> </w:t>
      </w:r>
      <w:r w:rsidRPr="00F65B67">
        <w:rPr>
          <w:szCs w:val="28"/>
        </w:rPr>
        <w:t>включают в себя субсидии М</w:t>
      </w:r>
      <w:r>
        <w:rPr>
          <w:szCs w:val="28"/>
        </w:rPr>
        <w:t>БУ (</w:t>
      </w:r>
      <w:r w:rsidRPr="00F65B67">
        <w:rPr>
          <w:szCs w:val="28"/>
        </w:rPr>
        <w:t>«</w:t>
      </w:r>
      <w:proofErr w:type="spellStart"/>
      <w:r w:rsidRPr="00F65B67">
        <w:rPr>
          <w:szCs w:val="28"/>
        </w:rPr>
        <w:t>Чистосервис</w:t>
      </w:r>
      <w:proofErr w:type="spellEnd"/>
      <w:r w:rsidRPr="00F65B67">
        <w:rPr>
          <w:szCs w:val="28"/>
        </w:rPr>
        <w:t>»)</w:t>
      </w:r>
      <w:r>
        <w:rPr>
          <w:szCs w:val="28"/>
        </w:rPr>
        <w:t xml:space="preserve"> – </w:t>
      </w:r>
      <w:r w:rsidR="006E70D8">
        <w:rPr>
          <w:szCs w:val="28"/>
        </w:rPr>
        <w:t>19000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</w:t>
      </w:r>
      <w:proofErr w:type="spellEnd"/>
      <w:r>
        <w:rPr>
          <w:szCs w:val="28"/>
        </w:rPr>
        <w:t>.</w:t>
      </w:r>
      <w:r w:rsidRPr="00F65B67">
        <w:rPr>
          <w:szCs w:val="28"/>
        </w:rPr>
        <w:t xml:space="preserve"> </w:t>
      </w:r>
      <w:r>
        <w:t xml:space="preserve"> </w:t>
      </w:r>
    </w:p>
    <w:p w:rsidR="00AD5742" w:rsidRDefault="00AD5742" w:rsidP="00AD5742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Коммунальные услуги (озеленение, валка и обрезка деревьев,</w:t>
      </w:r>
      <w:r w:rsidR="00185851">
        <w:rPr>
          <w:szCs w:val="28"/>
        </w:rPr>
        <w:t xml:space="preserve"> уборка территории,</w:t>
      </w:r>
      <w:r>
        <w:rPr>
          <w:szCs w:val="28"/>
        </w:rPr>
        <w:t xml:space="preserve"> выкашивание травы, техобслуживание уличного освещения)  будут профинансированы на </w:t>
      </w:r>
      <w:r w:rsidR="002D5C10">
        <w:rPr>
          <w:szCs w:val="28"/>
        </w:rPr>
        <w:t>40700,0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</w:t>
      </w:r>
    </w:p>
    <w:p w:rsidR="00290A4D" w:rsidRDefault="00290A4D" w:rsidP="00AD5742">
      <w:pPr>
        <w:jc w:val="both"/>
        <w:rPr>
          <w:szCs w:val="28"/>
        </w:rPr>
      </w:pPr>
    </w:p>
    <w:p w:rsidR="00EE55AC" w:rsidRDefault="00994942" w:rsidP="00EE55AC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</w:t>
      </w:r>
      <w:r w:rsidR="00185851">
        <w:rPr>
          <w:color w:val="000000"/>
          <w:szCs w:val="28"/>
          <w:shd w:val="clear" w:color="auto" w:fill="FFFFFF"/>
        </w:rPr>
        <w:t xml:space="preserve">  </w:t>
      </w:r>
      <w:r>
        <w:rPr>
          <w:color w:val="000000"/>
          <w:szCs w:val="28"/>
          <w:shd w:val="clear" w:color="auto" w:fill="FFFFFF"/>
        </w:rPr>
        <w:t xml:space="preserve"> </w:t>
      </w:r>
      <w:r w:rsidR="00EE55AC">
        <w:rPr>
          <w:color w:val="000000"/>
          <w:szCs w:val="28"/>
          <w:shd w:val="clear" w:color="auto" w:fill="FFFFFF"/>
        </w:rPr>
        <w:t>А</w:t>
      </w:r>
      <w:r w:rsidR="00EE55AC" w:rsidRPr="005C3108">
        <w:rPr>
          <w:color w:val="000000"/>
          <w:szCs w:val="28"/>
          <w:shd w:val="clear" w:color="auto" w:fill="FFFFFF"/>
        </w:rPr>
        <w:t xml:space="preserve">дминистрация </w:t>
      </w:r>
      <w:proofErr w:type="spellStart"/>
      <w:r w:rsidR="00EE55AC">
        <w:rPr>
          <w:color w:val="000000"/>
          <w:szCs w:val="28"/>
          <w:shd w:val="clear" w:color="auto" w:fill="FFFFFF"/>
        </w:rPr>
        <w:t>Бесланского</w:t>
      </w:r>
      <w:proofErr w:type="spellEnd"/>
      <w:r w:rsidR="00EE55AC">
        <w:rPr>
          <w:color w:val="000000"/>
          <w:szCs w:val="28"/>
          <w:shd w:val="clear" w:color="auto" w:fill="FFFFFF"/>
        </w:rPr>
        <w:t xml:space="preserve"> городского поселения</w:t>
      </w:r>
      <w:r w:rsidR="00EE55AC" w:rsidRPr="005C3108">
        <w:rPr>
          <w:color w:val="000000"/>
          <w:szCs w:val="28"/>
          <w:shd w:val="clear" w:color="auto" w:fill="FFFFFF"/>
        </w:rPr>
        <w:t xml:space="preserve">, являясь органом местного самоуправления, обязана принять необходимые меры для обеспечения уличного освещения на территории </w:t>
      </w:r>
      <w:proofErr w:type="spellStart"/>
      <w:r w:rsidR="00EE55AC">
        <w:rPr>
          <w:color w:val="000000"/>
          <w:szCs w:val="28"/>
          <w:shd w:val="clear" w:color="auto" w:fill="FFFFFF"/>
        </w:rPr>
        <w:t>г</w:t>
      </w:r>
      <w:proofErr w:type="gramStart"/>
      <w:r w:rsidR="00EE55AC">
        <w:rPr>
          <w:color w:val="000000"/>
          <w:szCs w:val="28"/>
          <w:shd w:val="clear" w:color="auto" w:fill="FFFFFF"/>
        </w:rPr>
        <w:t>.Б</w:t>
      </w:r>
      <w:proofErr w:type="gramEnd"/>
      <w:r w:rsidR="00EE55AC">
        <w:rPr>
          <w:color w:val="000000"/>
          <w:szCs w:val="28"/>
          <w:shd w:val="clear" w:color="auto" w:fill="FFFFFF"/>
        </w:rPr>
        <w:t>еслана</w:t>
      </w:r>
      <w:proofErr w:type="spellEnd"/>
      <w:r w:rsidR="00EE55AC" w:rsidRPr="005C3108">
        <w:rPr>
          <w:color w:val="000000"/>
          <w:szCs w:val="28"/>
          <w:shd w:val="clear" w:color="auto" w:fill="FFFFFF"/>
        </w:rPr>
        <w:t xml:space="preserve">. Однако, в нарушение требований федерального законодательства, </w:t>
      </w:r>
      <w:r w:rsidR="00EE55AC">
        <w:rPr>
          <w:color w:val="000000"/>
          <w:szCs w:val="28"/>
          <w:shd w:val="clear" w:color="auto" w:fill="FFFFFF"/>
        </w:rPr>
        <w:t>в представленном проекте бюджета отсутствуют прогнозируемые лимиты на оплату уличного освещения на</w:t>
      </w:r>
      <w:r>
        <w:rPr>
          <w:color w:val="000000"/>
          <w:szCs w:val="28"/>
          <w:shd w:val="clear" w:color="auto" w:fill="FFFFFF"/>
        </w:rPr>
        <w:t xml:space="preserve"> территориях</w:t>
      </w:r>
      <w:r w:rsidR="00EE55AC" w:rsidRPr="005C3108">
        <w:rPr>
          <w:color w:val="000000"/>
          <w:szCs w:val="28"/>
          <w:shd w:val="clear" w:color="auto" w:fill="FFFFFF"/>
        </w:rPr>
        <w:t xml:space="preserve"> общего пользования.</w:t>
      </w:r>
      <w:r w:rsidR="00EE55AC" w:rsidRPr="00EE55AC">
        <w:rPr>
          <w:color w:val="000000"/>
          <w:szCs w:val="28"/>
          <w:shd w:val="clear" w:color="auto" w:fill="FFFFFF"/>
        </w:rPr>
        <w:t xml:space="preserve"> </w:t>
      </w:r>
      <w:r w:rsidR="009F2088">
        <w:rPr>
          <w:color w:val="000000"/>
          <w:szCs w:val="28"/>
          <w:shd w:val="clear" w:color="auto" w:fill="FFFFFF"/>
        </w:rPr>
        <w:t>Фактический</w:t>
      </w:r>
      <w:r w:rsidR="00185851">
        <w:rPr>
          <w:color w:val="000000"/>
          <w:szCs w:val="28"/>
          <w:shd w:val="clear" w:color="auto" w:fill="FFFFFF"/>
        </w:rPr>
        <w:t xml:space="preserve"> расход </w:t>
      </w:r>
      <w:r w:rsidR="00EE55AC">
        <w:rPr>
          <w:color w:val="000000"/>
          <w:szCs w:val="28"/>
          <w:shd w:val="clear" w:color="auto" w:fill="FFFFFF"/>
        </w:rPr>
        <w:t xml:space="preserve"> </w:t>
      </w:r>
      <w:r w:rsidR="00185851">
        <w:rPr>
          <w:color w:val="000000"/>
          <w:szCs w:val="28"/>
          <w:shd w:val="clear" w:color="auto" w:fill="FFFFFF"/>
        </w:rPr>
        <w:t xml:space="preserve">по </w:t>
      </w:r>
      <w:r w:rsidR="00EE55AC">
        <w:rPr>
          <w:color w:val="000000"/>
          <w:szCs w:val="28"/>
          <w:shd w:val="clear" w:color="auto" w:fill="FFFFFF"/>
        </w:rPr>
        <w:t xml:space="preserve"> </w:t>
      </w:r>
      <w:r w:rsidR="00185851">
        <w:rPr>
          <w:color w:val="000000"/>
          <w:szCs w:val="28"/>
          <w:shd w:val="clear" w:color="auto" w:fill="FFFFFF"/>
        </w:rPr>
        <w:t>оплате</w:t>
      </w:r>
      <w:r w:rsidR="00EE55AC">
        <w:rPr>
          <w:color w:val="000000"/>
          <w:szCs w:val="28"/>
          <w:shd w:val="clear" w:color="auto" w:fill="FFFFFF"/>
        </w:rPr>
        <w:t xml:space="preserve"> уличного освещения</w:t>
      </w:r>
      <w:r w:rsidR="009F2088">
        <w:rPr>
          <w:color w:val="000000"/>
          <w:szCs w:val="28"/>
          <w:shd w:val="clear" w:color="auto" w:fill="FFFFFF"/>
        </w:rPr>
        <w:t xml:space="preserve"> в 2021 году составил</w:t>
      </w:r>
      <w:r w:rsidR="00EE55AC">
        <w:rPr>
          <w:color w:val="000000"/>
          <w:szCs w:val="28"/>
          <w:shd w:val="clear" w:color="auto" w:fill="FFFFFF"/>
        </w:rPr>
        <w:t xml:space="preserve"> 9319,0 тыс. руб.</w:t>
      </w:r>
      <w:r w:rsidR="00EE55AC" w:rsidRPr="005C3108">
        <w:rPr>
          <w:color w:val="000000"/>
          <w:szCs w:val="28"/>
        </w:rPr>
        <w:br/>
      </w:r>
    </w:p>
    <w:p w:rsidR="00EE55AC" w:rsidRPr="005C3108" w:rsidRDefault="00EE55AC" w:rsidP="00EE55AC">
      <w:pPr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    </w:t>
      </w:r>
      <w:r w:rsidRPr="002057B0">
        <w:rPr>
          <w:color w:val="000000"/>
          <w:szCs w:val="28"/>
          <w:shd w:val="clear" w:color="auto" w:fill="FFFFFF"/>
        </w:rPr>
        <w:t xml:space="preserve">Анализ судебной практики в совокупности с </w:t>
      </w:r>
      <w:r w:rsidR="00994942">
        <w:rPr>
          <w:color w:val="000000"/>
          <w:szCs w:val="28"/>
          <w:shd w:val="clear" w:color="auto" w:fill="FFFFFF"/>
        </w:rPr>
        <w:t>действующими</w:t>
      </w:r>
      <w:r w:rsidRPr="002057B0">
        <w:rPr>
          <w:color w:val="000000"/>
          <w:szCs w:val="28"/>
          <w:shd w:val="clear" w:color="auto" w:fill="FFFFFF"/>
        </w:rPr>
        <w:t xml:space="preserve"> правовыми нормами,</w:t>
      </w:r>
      <w:r>
        <w:rPr>
          <w:color w:val="000000"/>
          <w:szCs w:val="28"/>
          <w:shd w:val="clear" w:color="auto" w:fill="FFFFFF"/>
        </w:rPr>
        <w:t xml:space="preserve"> </w:t>
      </w:r>
      <w:r w:rsidRPr="002057B0">
        <w:rPr>
          <w:color w:val="000000"/>
          <w:szCs w:val="28"/>
          <w:shd w:val="clear" w:color="auto" w:fill="FFFFFF"/>
        </w:rPr>
        <w:t>свидетельствует о том, что суды не принимают во внимание доводы об отсутствии возможности организовать уличное освещение.</w:t>
      </w:r>
      <w:r>
        <w:rPr>
          <w:color w:val="000000"/>
          <w:szCs w:val="28"/>
          <w:shd w:val="clear" w:color="auto" w:fill="FFFFFF"/>
        </w:rPr>
        <w:t xml:space="preserve"> </w:t>
      </w:r>
      <w:r w:rsidRPr="005C3108">
        <w:rPr>
          <w:color w:val="000000"/>
          <w:szCs w:val="28"/>
          <w:shd w:val="clear" w:color="auto" w:fill="FFFFFF"/>
        </w:rPr>
        <w:t>Организация освещения территории населенного пункта является публичной обязанностью органов местного самоуправления и подразумевает под собой весь комплекс действий, связанных с организацией уличного освещения</w:t>
      </w:r>
      <w:r>
        <w:rPr>
          <w:color w:val="000000"/>
          <w:szCs w:val="28"/>
          <w:shd w:val="clear" w:color="auto" w:fill="FFFFFF"/>
        </w:rPr>
        <w:t>.</w:t>
      </w:r>
      <w:r w:rsidRPr="005C3108"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            </w:t>
      </w:r>
      <w:r w:rsidRPr="005C3108">
        <w:rPr>
          <w:color w:val="000000"/>
          <w:szCs w:val="28"/>
          <w:shd w:val="clear" w:color="auto" w:fill="FFFFFF"/>
        </w:rPr>
        <w:t xml:space="preserve">Неисполнение органом местного самоуправления требований закона в </w:t>
      </w:r>
      <w:r w:rsidR="00994942">
        <w:rPr>
          <w:color w:val="000000"/>
          <w:szCs w:val="28"/>
          <w:shd w:val="clear" w:color="auto" w:fill="FFFFFF"/>
        </w:rPr>
        <w:t>части</w:t>
      </w:r>
      <w:r w:rsidRPr="005C3108">
        <w:rPr>
          <w:color w:val="000000"/>
          <w:szCs w:val="28"/>
          <w:shd w:val="clear" w:color="auto" w:fill="FFFFFF"/>
        </w:rPr>
        <w:t xml:space="preserve"> организации уличного освещения создает угрозу нарушения конституционных прав граждан, а также свидетельствует о ненадлежащей реализации органом местного самоуправления предоставленных полномочий.</w:t>
      </w:r>
      <w:r w:rsidRPr="005C3108"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               </w:t>
      </w:r>
      <w:r w:rsidRPr="005C3108">
        <w:rPr>
          <w:color w:val="000000"/>
          <w:szCs w:val="28"/>
          <w:shd w:val="clear" w:color="auto" w:fill="FFFFFF"/>
        </w:rPr>
        <w:t xml:space="preserve">Непринятие мер по организации уличного освещения может также повлиять на рост совершения противоправных и уголовных деяний, в том числе террористического характера, создаёт предпосылки для роста количества происшествий, нарушает права граждан на безопасное и беспрепятственное передвижение по территории </w:t>
      </w:r>
      <w:r>
        <w:rPr>
          <w:color w:val="000000"/>
          <w:szCs w:val="28"/>
          <w:shd w:val="clear" w:color="auto" w:fill="FFFFFF"/>
        </w:rPr>
        <w:t>городского</w:t>
      </w:r>
      <w:r w:rsidRPr="005C3108">
        <w:rPr>
          <w:color w:val="000000"/>
          <w:szCs w:val="28"/>
          <w:shd w:val="clear" w:color="auto" w:fill="FFFFFF"/>
        </w:rPr>
        <w:t xml:space="preserve"> поселения в вечернее и ночное время, на безопасность дорожного движения. </w:t>
      </w:r>
    </w:p>
    <w:p w:rsidR="00290A4D" w:rsidRPr="008D28A6" w:rsidRDefault="00290A4D" w:rsidP="00EE55AC">
      <w:pPr>
        <w:jc w:val="both"/>
        <w:rPr>
          <w:b/>
          <w:szCs w:val="28"/>
        </w:rPr>
      </w:pPr>
    </w:p>
    <w:p w:rsidR="00AD5742" w:rsidRDefault="00AD5742" w:rsidP="00AD5742">
      <w:pPr>
        <w:jc w:val="both"/>
        <w:rPr>
          <w:b/>
          <w:color w:val="C00000"/>
          <w:szCs w:val="28"/>
        </w:rPr>
      </w:pPr>
      <w:r w:rsidRPr="00F90718">
        <w:rPr>
          <w:b/>
          <w:color w:val="C00000"/>
          <w:szCs w:val="28"/>
        </w:rPr>
        <w:t xml:space="preserve">                      </w:t>
      </w:r>
    </w:p>
    <w:p w:rsidR="00AD5742" w:rsidRDefault="00AD5742" w:rsidP="00AD5742">
      <w:pPr>
        <w:jc w:val="center"/>
        <w:rPr>
          <w:b/>
          <w:szCs w:val="28"/>
        </w:rPr>
      </w:pPr>
      <w:r w:rsidRPr="00F86BA9">
        <w:rPr>
          <w:b/>
          <w:szCs w:val="28"/>
        </w:rPr>
        <w:t>"Культура и кинематография".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Pr="00B52965" w:rsidRDefault="00AD5742" w:rsidP="00AD5742">
      <w:pPr>
        <w:ind w:firstLine="600"/>
        <w:jc w:val="both"/>
        <w:rPr>
          <w:szCs w:val="20"/>
        </w:rPr>
      </w:pPr>
      <w:r w:rsidRPr="00B52965">
        <w:rPr>
          <w:szCs w:val="20"/>
        </w:rPr>
        <w:t xml:space="preserve">Бюджетные ассигнования бюджета по разделу «Культура и кинематография» характеризуются следующими данными (таблица </w:t>
      </w:r>
      <w:r>
        <w:rPr>
          <w:szCs w:val="20"/>
        </w:rPr>
        <w:t>№7</w:t>
      </w:r>
      <w:r w:rsidRPr="00B52965">
        <w:rPr>
          <w:szCs w:val="20"/>
        </w:rPr>
        <w:t>):</w:t>
      </w:r>
    </w:p>
    <w:p w:rsidR="00AD5742" w:rsidRDefault="00AD5742" w:rsidP="00AD5742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</w:p>
    <w:p w:rsidR="00AD5742" w:rsidRDefault="00AD5742" w:rsidP="00AD5742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 w:rsidRPr="00B52965">
        <w:t xml:space="preserve">Таблица </w:t>
      </w:r>
      <w:r>
        <w:t xml:space="preserve">  №7 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701"/>
        <w:gridCol w:w="1276"/>
      </w:tblGrid>
      <w:tr w:rsidR="00AD5742" w:rsidRPr="00D43BE7" w:rsidTr="00AD5742">
        <w:trPr>
          <w:trHeight w:val="5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42" w:rsidRPr="00D43BE7" w:rsidRDefault="00AD5742" w:rsidP="00AD574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AD5742" w:rsidP="00AD57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</w:t>
            </w:r>
            <w:r w:rsidR="00290A4D">
              <w:rPr>
                <w:bCs/>
                <w:sz w:val="20"/>
                <w:szCs w:val="20"/>
              </w:rPr>
              <w:t>21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290A4D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  <w:r w:rsidR="00AD5742"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43BE7">
              <w:rPr>
                <w:sz w:val="20"/>
                <w:szCs w:val="20"/>
              </w:rPr>
              <w:t>уточ</w:t>
            </w:r>
            <w:proofErr w:type="spellEnd"/>
            <w:r w:rsidRPr="00D43BE7">
              <w:rPr>
                <w:sz w:val="20"/>
                <w:szCs w:val="20"/>
              </w:rPr>
              <w:t>.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290A4D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  <w:r w:rsidR="00AD5742" w:rsidRPr="00D43BE7">
              <w:rPr>
                <w:bCs/>
                <w:sz w:val="20"/>
                <w:szCs w:val="20"/>
              </w:rPr>
              <w:t>г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план</w:t>
            </w:r>
          </w:p>
        </w:tc>
      </w:tr>
      <w:tr w:rsidR="00AD5742" w:rsidRPr="004F17F3" w:rsidTr="00AD5742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4F17F3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290A4D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384,5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290A4D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300,0</w:t>
            </w:r>
          </w:p>
        </w:tc>
      </w:tr>
    </w:tbl>
    <w:p w:rsidR="00AD5742" w:rsidRPr="00BD0AA9" w:rsidRDefault="00AD5742" w:rsidP="00AD5742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>
        <w:t xml:space="preserve">                                                                                                </w:t>
      </w:r>
    </w:p>
    <w:p w:rsidR="00AD5742" w:rsidRPr="00F65B67" w:rsidRDefault="00AD5742" w:rsidP="00AD5742">
      <w:pPr>
        <w:ind w:left="180" w:firstLine="360"/>
        <w:jc w:val="both"/>
        <w:rPr>
          <w:szCs w:val="28"/>
        </w:rPr>
      </w:pPr>
      <w:r w:rsidRPr="003E0039">
        <w:rPr>
          <w:szCs w:val="20"/>
        </w:rPr>
        <w:t xml:space="preserve">По подразделу </w:t>
      </w:r>
      <w:r w:rsidRPr="003E0039">
        <w:rPr>
          <w:b/>
          <w:szCs w:val="20"/>
        </w:rPr>
        <w:t>«Культура»</w:t>
      </w:r>
      <w:r w:rsidRPr="003E0039">
        <w:rPr>
          <w:szCs w:val="20"/>
        </w:rPr>
        <w:t xml:space="preserve"> предусмотрены бюджетные ассигнования  </w:t>
      </w:r>
      <w:r w:rsidRPr="00F65B67">
        <w:rPr>
          <w:szCs w:val="28"/>
        </w:rPr>
        <w:t xml:space="preserve">на проведение мероприятий в области культуры и </w:t>
      </w:r>
      <w:r w:rsidRPr="00F65B67">
        <w:rPr>
          <w:color w:val="000000"/>
          <w:szCs w:val="28"/>
        </w:rPr>
        <w:t xml:space="preserve">составили </w:t>
      </w:r>
      <w:r>
        <w:rPr>
          <w:color w:val="000000"/>
          <w:szCs w:val="28"/>
        </w:rPr>
        <w:t>300</w:t>
      </w:r>
      <w:r w:rsidRPr="00F65B67">
        <w:rPr>
          <w:color w:val="000000"/>
          <w:szCs w:val="28"/>
        </w:rPr>
        <w:t xml:space="preserve"> тыс. рублей. </w:t>
      </w:r>
    </w:p>
    <w:p w:rsidR="00AD5742" w:rsidRPr="00B764BE" w:rsidRDefault="00AD5742" w:rsidP="00AD5742">
      <w:pPr>
        <w:jc w:val="center"/>
        <w:rPr>
          <w:b/>
          <w:szCs w:val="28"/>
        </w:rPr>
      </w:pPr>
      <w:r w:rsidRPr="00B764BE">
        <w:rPr>
          <w:b/>
          <w:szCs w:val="28"/>
        </w:rPr>
        <w:lastRenderedPageBreak/>
        <w:t xml:space="preserve"> "Социальная политика".</w:t>
      </w:r>
    </w:p>
    <w:p w:rsidR="00AD5742" w:rsidRPr="00804B78" w:rsidRDefault="00AD5742" w:rsidP="00AD5742">
      <w:pPr>
        <w:jc w:val="center"/>
        <w:rPr>
          <w:b/>
          <w:szCs w:val="28"/>
          <w:u w:val="single"/>
        </w:rPr>
      </w:pPr>
    </w:p>
    <w:p w:rsidR="00AD5742" w:rsidRDefault="00AD5742" w:rsidP="00AD5742">
      <w:pPr>
        <w:ind w:firstLine="600"/>
        <w:jc w:val="both"/>
      </w:pPr>
      <w:r w:rsidRPr="008C6C26">
        <w:rPr>
          <w:szCs w:val="20"/>
        </w:rPr>
        <w:t xml:space="preserve">Бюджетные ассигнования бюджета по разделу «Социальная политика» характеризуются следующими данными (таблица </w:t>
      </w:r>
      <w:r>
        <w:rPr>
          <w:szCs w:val="20"/>
        </w:rPr>
        <w:t>№8</w:t>
      </w:r>
      <w:r w:rsidRPr="008C6C26">
        <w:rPr>
          <w:szCs w:val="20"/>
        </w:rPr>
        <w:t>):</w:t>
      </w:r>
    </w:p>
    <w:p w:rsidR="00AD5742" w:rsidRDefault="00AD5742" w:rsidP="00AD5742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</w:p>
    <w:p w:rsidR="00AD5742" w:rsidRDefault="00AD5742" w:rsidP="00AD5742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 w:rsidRPr="008C6C26">
        <w:t xml:space="preserve">Таблица </w:t>
      </w:r>
      <w:r>
        <w:t xml:space="preserve">№8  </w:t>
      </w:r>
    </w:p>
    <w:p w:rsidR="00AD5742" w:rsidRDefault="00AD5742" w:rsidP="00AD5742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>
        <w:t xml:space="preserve">  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701"/>
        <w:gridCol w:w="1276"/>
      </w:tblGrid>
      <w:tr w:rsidR="00AD5742" w:rsidRPr="00D43BE7" w:rsidTr="00AD5742">
        <w:trPr>
          <w:trHeight w:val="5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42" w:rsidRPr="00D43BE7" w:rsidRDefault="00AD5742" w:rsidP="00AD574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AD5742" w:rsidP="00AD57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</w:t>
            </w:r>
            <w:r w:rsidR="00290A4D">
              <w:rPr>
                <w:bCs/>
                <w:sz w:val="20"/>
                <w:szCs w:val="20"/>
              </w:rPr>
              <w:t>21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290A4D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2022 </w:t>
            </w:r>
            <w:r w:rsidR="00AD5742" w:rsidRPr="00D43BE7">
              <w:rPr>
                <w:bCs/>
                <w:sz w:val="20"/>
                <w:szCs w:val="20"/>
              </w:rPr>
              <w:t>год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43BE7">
              <w:rPr>
                <w:sz w:val="20"/>
                <w:szCs w:val="20"/>
              </w:rPr>
              <w:t>уточ</w:t>
            </w:r>
            <w:proofErr w:type="spellEnd"/>
            <w:r w:rsidRPr="00D43BE7">
              <w:rPr>
                <w:sz w:val="20"/>
                <w:szCs w:val="20"/>
              </w:rPr>
              <w:t>.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290A4D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  <w:r w:rsidR="00AD5742" w:rsidRPr="00D43BE7">
              <w:rPr>
                <w:bCs/>
                <w:sz w:val="20"/>
                <w:szCs w:val="20"/>
              </w:rPr>
              <w:t>г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план</w:t>
            </w:r>
          </w:p>
        </w:tc>
      </w:tr>
      <w:tr w:rsidR="00AD5742" w:rsidRPr="004F17F3" w:rsidTr="00AD5742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4F17F3" w:rsidRDefault="00AD5742" w:rsidP="00AD5742">
            <w:pPr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666C87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3503,3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666C87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1030,0</w:t>
            </w:r>
          </w:p>
        </w:tc>
      </w:tr>
      <w:tr w:rsidR="00AD5742" w:rsidRPr="004F17F3" w:rsidTr="00AD5742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4F17F3" w:rsidRDefault="00AD5742" w:rsidP="00AD5742">
            <w:pPr>
              <w:rPr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В том числе:</w:t>
            </w:r>
          </w:p>
          <w:p w:rsidR="00AD5742" w:rsidRPr="004F17F3" w:rsidRDefault="00AD5742" w:rsidP="00AD5742">
            <w:pPr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666C87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1006,2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666C87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900,0</w:t>
            </w:r>
          </w:p>
        </w:tc>
      </w:tr>
      <w:tr w:rsidR="00AD5742" w:rsidRPr="004F17F3" w:rsidTr="00AD5742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4F17F3" w:rsidRDefault="00AD5742" w:rsidP="00AD5742">
            <w:pPr>
              <w:rPr>
                <w:sz w:val="24"/>
                <w:szCs w:val="24"/>
              </w:rPr>
            </w:pPr>
            <w:r w:rsidRPr="004F17F3">
              <w:rPr>
                <w:sz w:val="24"/>
                <w:szCs w:val="24"/>
              </w:rPr>
              <w:t>Социальное обеспечение населения и иные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666C87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666C87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130,0</w:t>
            </w:r>
          </w:p>
        </w:tc>
      </w:tr>
    </w:tbl>
    <w:p w:rsidR="00AD5742" w:rsidRPr="00BD0AA9" w:rsidRDefault="00AD5742" w:rsidP="00AD5742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</w:pPr>
      <w:r>
        <w:t xml:space="preserve">                                                                                                   </w:t>
      </w:r>
    </w:p>
    <w:p w:rsidR="00AD5742" w:rsidRPr="00B606CA" w:rsidRDefault="00AD5742" w:rsidP="00AD5742">
      <w:pPr>
        <w:jc w:val="both"/>
        <w:rPr>
          <w:szCs w:val="28"/>
        </w:rPr>
      </w:pPr>
      <w:r w:rsidRPr="00B606CA">
        <w:rPr>
          <w:szCs w:val="28"/>
        </w:rPr>
        <w:t xml:space="preserve">         Бюджетные ассигнования бюджета, выделенные по разде</w:t>
      </w:r>
      <w:r w:rsidR="00666C87">
        <w:rPr>
          <w:szCs w:val="28"/>
        </w:rPr>
        <w:t>лу «Социальная политика» на 2023</w:t>
      </w:r>
      <w:r w:rsidRPr="00B606CA">
        <w:rPr>
          <w:szCs w:val="28"/>
        </w:rPr>
        <w:t xml:space="preserve"> год,  предусматриваются в сумме 1030,0 тыс. руб. На пенсионное обеспечение предусматриваются бюджетные ассигнования в сумме 900,0 тыс. руб. На социальное обеспечение населения предусматриваются бюджетные ассигнования в сумме 130,0 тыс. руб. в том числе:</w:t>
      </w:r>
    </w:p>
    <w:p w:rsidR="00AD5742" w:rsidRDefault="00AD5742" w:rsidP="00AD5742">
      <w:pPr>
        <w:jc w:val="both"/>
        <w:rPr>
          <w:b/>
          <w:szCs w:val="28"/>
        </w:rPr>
      </w:pPr>
      <w:r w:rsidRPr="00B606CA">
        <w:rPr>
          <w:szCs w:val="28"/>
        </w:rPr>
        <w:t xml:space="preserve">         - на социальную поддержку участников ВОВ предусмотрено 130,0 </w:t>
      </w:r>
      <w:proofErr w:type="spellStart"/>
      <w:proofErr w:type="gramStart"/>
      <w:r w:rsidRPr="00B606CA">
        <w:rPr>
          <w:szCs w:val="28"/>
        </w:rPr>
        <w:t>тыс</w:t>
      </w:r>
      <w:proofErr w:type="spellEnd"/>
      <w:proofErr w:type="gramEnd"/>
      <w:r w:rsidRPr="00B606CA">
        <w:rPr>
          <w:szCs w:val="28"/>
        </w:rPr>
        <w:t xml:space="preserve"> руб.</w:t>
      </w:r>
    </w:p>
    <w:p w:rsidR="00AD5742" w:rsidRDefault="00AD5742" w:rsidP="00AD5742">
      <w:pPr>
        <w:jc w:val="center"/>
        <w:rPr>
          <w:b/>
          <w:szCs w:val="28"/>
        </w:rPr>
      </w:pPr>
      <w:r w:rsidRPr="008D28A6">
        <w:rPr>
          <w:b/>
          <w:szCs w:val="28"/>
        </w:rPr>
        <w:t>"Физическая культура и спорт"</w:t>
      </w:r>
      <w:r>
        <w:rPr>
          <w:b/>
          <w:szCs w:val="28"/>
        </w:rPr>
        <w:t>.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Default="00AD5742" w:rsidP="00AD5742">
      <w:pPr>
        <w:rPr>
          <w:szCs w:val="20"/>
        </w:rPr>
      </w:pPr>
      <w:r>
        <w:rPr>
          <w:szCs w:val="20"/>
        </w:rPr>
        <w:t xml:space="preserve">            </w:t>
      </w:r>
      <w:r w:rsidRPr="006222A1">
        <w:rPr>
          <w:szCs w:val="20"/>
        </w:rPr>
        <w:t>Бюджетные ассигнования бюджета по разделу «Физическая культура и спорт» характеризуются следующими данными (таблица</w:t>
      </w:r>
      <w:r>
        <w:rPr>
          <w:szCs w:val="20"/>
        </w:rPr>
        <w:t xml:space="preserve"> №</w:t>
      </w:r>
      <w:r w:rsidRPr="006222A1">
        <w:rPr>
          <w:szCs w:val="20"/>
        </w:rPr>
        <w:t xml:space="preserve"> </w:t>
      </w:r>
      <w:r>
        <w:rPr>
          <w:szCs w:val="20"/>
        </w:rPr>
        <w:t>9)</w:t>
      </w:r>
      <w:r w:rsidRPr="006222A1">
        <w:rPr>
          <w:szCs w:val="20"/>
        </w:rPr>
        <w:t>:</w:t>
      </w:r>
    </w:p>
    <w:p w:rsidR="00AD5742" w:rsidRDefault="00AD5742" w:rsidP="00AD5742">
      <w:pPr>
        <w:rPr>
          <w:szCs w:val="20"/>
        </w:rPr>
      </w:pPr>
    </w:p>
    <w:p w:rsidR="00AD5742" w:rsidRDefault="00AD5742" w:rsidP="00AD5742">
      <w:pPr>
        <w:spacing w:line="360" w:lineRule="auto"/>
        <w:ind w:firstLine="601"/>
        <w:jc w:val="center"/>
      </w:pPr>
      <w:r w:rsidRPr="006222A1">
        <w:t xml:space="preserve">Таблица </w:t>
      </w:r>
      <w:r>
        <w:t xml:space="preserve">№9   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701"/>
        <w:gridCol w:w="1276"/>
      </w:tblGrid>
      <w:tr w:rsidR="00AD5742" w:rsidRPr="00D43BE7" w:rsidTr="00AD5742">
        <w:trPr>
          <w:trHeight w:val="5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42" w:rsidRPr="00D43BE7" w:rsidRDefault="00AD5742" w:rsidP="00AD574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AD5742" w:rsidP="00AD57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</w:t>
            </w:r>
            <w:r w:rsidR="00B37BA0">
              <w:rPr>
                <w:bCs/>
                <w:sz w:val="20"/>
                <w:szCs w:val="20"/>
              </w:rPr>
              <w:t>21</w:t>
            </w:r>
            <w:r w:rsidRPr="00D43BE7">
              <w:rPr>
                <w:bCs/>
                <w:sz w:val="20"/>
                <w:szCs w:val="20"/>
              </w:rPr>
              <w:t>год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B37BA0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  <w:r w:rsidR="00AD5742"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43BE7">
              <w:rPr>
                <w:sz w:val="20"/>
                <w:szCs w:val="20"/>
              </w:rPr>
              <w:t>уточ</w:t>
            </w:r>
            <w:proofErr w:type="spellEnd"/>
            <w:r w:rsidRPr="00D43BE7">
              <w:rPr>
                <w:sz w:val="20"/>
                <w:szCs w:val="20"/>
              </w:rPr>
              <w:t>.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B37BA0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  <w:r w:rsidR="00AD5742" w:rsidRPr="00D43BE7">
              <w:rPr>
                <w:bCs/>
                <w:sz w:val="20"/>
                <w:szCs w:val="20"/>
              </w:rPr>
              <w:t>г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план</w:t>
            </w:r>
          </w:p>
        </w:tc>
      </w:tr>
      <w:tr w:rsidR="00AD5742" w:rsidRPr="004F17F3" w:rsidTr="00AD5742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4F17F3" w:rsidRDefault="00AD5742" w:rsidP="00AD5742">
            <w:pPr>
              <w:jc w:val="both"/>
              <w:rPr>
                <w:bCs/>
                <w:sz w:val="24"/>
                <w:szCs w:val="24"/>
              </w:rPr>
            </w:pPr>
            <w:r w:rsidRPr="004F17F3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B37BA0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B37BA0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100,0</w:t>
            </w:r>
          </w:p>
        </w:tc>
      </w:tr>
    </w:tbl>
    <w:p w:rsidR="00AD5742" w:rsidRPr="00BD0AA9" w:rsidRDefault="00AD5742" w:rsidP="00AD5742">
      <w:pPr>
        <w:spacing w:line="360" w:lineRule="auto"/>
        <w:rPr>
          <w:szCs w:val="20"/>
        </w:rPr>
      </w:pPr>
      <w:r>
        <w:t xml:space="preserve">                                                                                                   </w:t>
      </w:r>
    </w:p>
    <w:p w:rsidR="00AD5742" w:rsidRPr="00906916" w:rsidRDefault="00AD5742" w:rsidP="00AD5742">
      <w:pPr>
        <w:jc w:val="both"/>
        <w:rPr>
          <w:szCs w:val="28"/>
        </w:rPr>
      </w:pPr>
      <w:r w:rsidRPr="00906916">
        <w:rPr>
          <w:szCs w:val="28"/>
        </w:rPr>
        <w:t xml:space="preserve">        </w:t>
      </w:r>
      <w:proofErr w:type="gramStart"/>
      <w:r w:rsidRPr="00906916">
        <w:rPr>
          <w:szCs w:val="28"/>
        </w:rPr>
        <w:t>Бюджетные ассигнования бюджета, выделенные на физ</w:t>
      </w:r>
      <w:r w:rsidR="00B37BA0">
        <w:rPr>
          <w:szCs w:val="28"/>
        </w:rPr>
        <w:t>ическую культуру и спорт на 2023</w:t>
      </w:r>
      <w:r w:rsidRPr="00906916">
        <w:rPr>
          <w:szCs w:val="28"/>
        </w:rPr>
        <w:t xml:space="preserve"> год составляют</w:t>
      </w:r>
      <w:proofErr w:type="gramEnd"/>
      <w:r w:rsidRPr="00906916">
        <w:rPr>
          <w:szCs w:val="28"/>
        </w:rPr>
        <w:t xml:space="preserve"> сумму 100,0 тыс. рублей и предусмотрены на пров</w:t>
      </w:r>
      <w:r>
        <w:rPr>
          <w:szCs w:val="28"/>
        </w:rPr>
        <w:t>едение спортивных мероприятий.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Default="00AD5742" w:rsidP="00AD5742">
      <w:pPr>
        <w:jc w:val="center"/>
        <w:rPr>
          <w:b/>
          <w:szCs w:val="28"/>
        </w:rPr>
      </w:pPr>
      <w:r w:rsidRPr="008D28A6">
        <w:rPr>
          <w:b/>
          <w:szCs w:val="28"/>
        </w:rPr>
        <w:t>"Средства массовой информации".</w:t>
      </w:r>
    </w:p>
    <w:p w:rsidR="005E493C" w:rsidRDefault="005E493C" w:rsidP="00AD5742">
      <w:pPr>
        <w:jc w:val="center"/>
        <w:rPr>
          <w:b/>
          <w:szCs w:val="28"/>
        </w:rPr>
      </w:pPr>
    </w:p>
    <w:p w:rsidR="00AD5742" w:rsidRDefault="00AD5742" w:rsidP="00AD5742">
      <w:pPr>
        <w:ind w:firstLine="601"/>
        <w:jc w:val="both"/>
      </w:pPr>
      <w:r w:rsidRPr="0038224D">
        <w:rPr>
          <w:szCs w:val="20"/>
        </w:rPr>
        <w:t>Бюджетные ассигнования районного бюджета по разделу «Средства массовой информации» характеризуют</w:t>
      </w:r>
      <w:r>
        <w:rPr>
          <w:szCs w:val="20"/>
        </w:rPr>
        <w:t>ся следующими данными (таблица № 10</w:t>
      </w:r>
      <w:r w:rsidRPr="0038224D">
        <w:rPr>
          <w:szCs w:val="20"/>
        </w:rPr>
        <w:t>):</w:t>
      </w:r>
    </w:p>
    <w:p w:rsidR="005E493C" w:rsidRDefault="005E493C" w:rsidP="00AD5742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</w:p>
    <w:p w:rsidR="005E493C" w:rsidRDefault="005E493C" w:rsidP="00AD5742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</w:p>
    <w:p w:rsidR="00AD5742" w:rsidRDefault="00AD5742" w:rsidP="00AD5742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>
        <w:t xml:space="preserve">Таблица №10    </w:t>
      </w: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701"/>
        <w:gridCol w:w="1276"/>
      </w:tblGrid>
      <w:tr w:rsidR="00AD5742" w:rsidRPr="00D43BE7" w:rsidTr="00AD5742">
        <w:trPr>
          <w:trHeight w:val="59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742" w:rsidRPr="00D43BE7" w:rsidRDefault="00AD5742" w:rsidP="00AD5742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AD5742" w:rsidP="00AD574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3BE7">
              <w:rPr>
                <w:bCs/>
                <w:sz w:val="20"/>
                <w:szCs w:val="20"/>
              </w:rPr>
              <w:t>20</w:t>
            </w:r>
            <w:r w:rsidR="00B37BA0">
              <w:rPr>
                <w:bCs/>
                <w:sz w:val="20"/>
                <w:szCs w:val="20"/>
              </w:rPr>
              <w:t>21</w:t>
            </w:r>
            <w:r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отчет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B37BA0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  <w:r w:rsidR="00AD5742" w:rsidRPr="00D43BE7">
              <w:rPr>
                <w:bCs/>
                <w:sz w:val="20"/>
                <w:szCs w:val="20"/>
              </w:rPr>
              <w:t xml:space="preserve"> год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43BE7">
              <w:rPr>
                <w:sz w:val="20"/>
                <w:szCs w:val="20"/>
              </w:rPr>
              <w:t>уточ</w:t>
            </w:r>
            <w:proofErr w:type="spellEnd"/>
            <w:r w:rsidRPr="00D43BE7">
              <w:rPr>
                <w:sz w:val="20"/>
                <w:szCs w:val="20"/>
              </w:rPr>
              <w:t>.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742" w:rsidRPr="00D43BE7" w:rsidRDefault="00B37BA0" w:rsidP="00AD574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</w:t>
            </w:r>
            <w:r w:rsidR="00AD5742" w:rsidRPr="00D43BE7">
              <w:rPr>
                <w:bCs/>
                <w:sz w:val="20"/>
                <w:szCs w:val="20"/>
              </w:rPr>
              <w:t>г</w:t>
            </w:r>
          </w:p>
          <w:p w:rsidR="00AD5742" w:rsidRPr="00D43BE7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 w:rsidRPr="00D43BE7">
              <w:rPr>
                <w:sz w:val="20"/>
                <w:szCs w:val="20"/>
              </w:rPr>
              <w:t>план</w:t>
            </w:r>
          </w:p>
        </w:tc>
      </w:tr>
      <w:tr w:rsidR="00AD5742" w:rsidRPr="004F17F3" w:rsidTr="00AD5742">
        <w:trPr>
          <w:trHeight w:val="3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742" w:rsidRPr="004F17F3" w:rsidRDefault="00AD5742" w:rsidP="00AD574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B37BA0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1762,6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742" w:rsidRPr="004F17F3" w:rsidRDefault="00AD5742" w:rsidP="00AD5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1500,0</w:t>
            </w:r>
          </w:p>
        </w:tc>
      </w:tr>
    </w:tbl>
    <w:p w:rsidR="00AD5742" w:rsidRPr="00BD0AA9" w:rsidRDefault="00AD5742" w:rsidP="00AD5742">
      <w:pPr>
        <w:autoSpaceDE w:val="0"/>
        <w:autoSpaceDN w:val="0"/>
        <w:adjustRightInd w:val="0"/>
        <w:spacing w:line="276" w:lineRule="auto"/>
        <w:ind w:firstLine="540"/>
        <w:jc w:val="center"/>
        <w:outlineLvl w:val="0"/>
      </w:pPr>
      <w:r>
        <w:t xml:space="preserve">                                                                                                     </w:t>
      </w:r>
      <w:r w:rsidRPr="0038224D">
        <w:t xml:space="preserve"> </w:t>
      </w:r>
    </w:p>
    <w:p w:rsidR="00AD5742" w:rsidRDefault="00AD5742" w:rsidP="00AD5742">
      <w:pPr>
        <w:jc w:val="both"/>
        <w:rPr>
          <w:b/>
          <w:szCs w:val="28"/>
        </w:rPr>
      </w:pPr>
      <w:r>
        <w:rPr>
          <w:szCs w:val="28"/>
        </w:rPr>
        <w:t xml:space="preserve">    Расходы по указанному разделу предусматривают бюджетные ассигнования на содержание редакции  </w:t>
      </w:r>
      <w:r w:rsidR="00B37BA0">
        <w:rPr>
          <w:szCs w:val="28"/>
        </w:rPr>
        <w:t>газеты "Вестник Беслана" на 2023</w:t>
      </w:r>
      <w:r>
        <w:rPr>
          <w:szCs w:val="28"/>
        </w:rPr>
        <w:t xml:space="preserve">г.  и определены в сумме </w:t>
      </w:r>
      <w:r>
        <w:rPr>
          <w:b/>
          <w:szCs w:val="28"/>
        </w:rPr>
        <w:t>15</w:t>
      </w:r>
      <w:r w:rsidRPr="008D28A6">
        <w:rPr>
          <w:b/>
          <w:szCs w:val="28"/>
        </w:rPr>
        <w:t>00</w:t>
      </w:r>
      <w:r>
        <w:rPr>
          <w:b/>
          <w:szCs w:val="28"/>
        </w:rPr>
        <w:t xml:space="preserve"> </w:t>
      </w:r>
      <w:r w:rsidRPr="008D28A6">
        <w:rPr>
          <w:b/>
          <w:szCs w:val="28"/>
        </w:rPr>
        <w:t xml:space="preserve">тыс. </w:t>
      </w:r>
      <w:r>
        <w:rPr>
          <w:b/>
          <w:szCs w:val="28"/>
        </w:rPr>
        <w:t>руб.</w:t>
      </w:r>
      <w:r w:rsidRPr="008D28A6">
        <w:rPr>
          <w:b/>
          <w:szCs w:val="28"/>
        </w:rPr>
        <w:t xml:space="preserve"> </w:t>
      </w:r>
      <w:r>
        <w:rPr>
          <w:szCs w:val="28"/>
        </w:rPr>
        <w:t xml:space="preserve">     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Pr="00AD5DA9" w:rsidRDefault="00AD5742" w:rsidP="00AD5742">
      <w:pPr>
        <w:jc w:val="center"/>
        <w:rPr>
          <w:szCs w:val="28"/>
        </w:rPr>
      </w:pPr>
      <w:r w:rsidRPr="00EF08E2">
        <w:rPr>
          <w:b/>
          <w:szCs w:val="28"/>
        </w:rPr>
        <w:t>Выводы и предложения</w:t>
      </w:r>
      <w:r>
        <w:rPr>
          <w:b/>
          <w:szCs w:val="28"/>
        </w:rPr>
        <w:t>.</w:t>
      </w:r>
    </w:p>
    <w:p w:rsidR="00AD5742" w:rsidRDefault="00AD5742" w:rsidP="00AD5742">
      <w:pPr>
        <w:jc w:val="center"/>
        <w:rPr>
          <w:b/>
          <w:szCs w:val="28"/>
        </w:rPr>
      </w:pPr>
    </w:p>
    <w:p w:rsidR="00AD5742" w:rsidRPr="00D57756" w:rsidRDefault="00AD5742" w:rsidP="0063066C">
      <w:pPr>
        <w:pStyle w:val="a6"/>
        <w:numPr>
          <w:ilvl w:val="0"/>
          <w:numId w:val="2"/>
        </w:numPr>
        <w:jc w:val="both"/>
        <w:rPr>
          <w:szCs w:val="28"/>
        </w:rPr>
      </w:pPr>
      <w:r>
        <w:t>Проект бюджета на 202</w:t>
      </w:r>
      <w:r w:rsidR="00B37BA0">
        <w:t>3</w:t>
      </w:r>
      <w:r w:rsidRPr="009436C2">
        <w:t xml:space="preserve"> год сформирован и предлагается к </w:t>
      </w:r>
      <w:r w:rsidRPr="00D57756">
        <w:t xml:space="preserve">утверждению без дефицита и профицита (расходы запланированы в объёме </w:t>
      </w:r>
      <w:r w:rsidRPr="00D57756">
        <w:rPr>
          <w:szCs w:val="28"/>
        </w:rPr>
        <w:t>доходов). Запланированные значения свидетельствует об обеспечении принципа сбалансированности бюджета.</w:t>
      </w:r>
    </w:p>
    <w:p w:rsidR="00BE5945" w:rsidRPr="00D57756" w:rsidRDefault="00BE5945" w:rsidP="00D57756">
      <w:pPr>
        <w:pStyle w:val="a6"/>
        <w:numPr>
          <w:ilvl w:val="0"/>
          <w:numId w:val="2"/>
        </w:numPr>
        <w:jc w:val="both"/>
        <w:rPr>
          <w:szCs w:val="28"/>
        </w:rPr>
      </w:pPr>
      <w:r w:rsidRPr="00D57756">
        <w:rPr>
          <w:szCs w:val="28"/>
        </w:rPr>
        <w:t>Прогнозируемый общий объем доходов бюджета на 2023 год сформирован в сумме 84200 тыс. руб. и  состоит на 100% из собственных доходов с увеличением против уточненного бюджета 2022 года на 3570,0 тыс. рублей или на 4,3%.</w:t>
      </w:r>
      <w:r w:rsidRPr="00D57756">
        <w:rPr>
          <w:rFonts w:ascii="Arial" w:hAnsi="Arial" w:cs="Arial"/>
          <w:sz w:val="30"/>
          <w:szCs w:val="30"/>
        </w:rPr>
        <w:t xml:space="preserve"> </w:t>
      </w:r>
      <w:r w:rsidRPr="00D57756">
        <w:rPr>
          <w:szCs w:val="28"/>
        </w:rPr>
        <w:t xml:space="preserve">Безвозмездные поступления не запланированы. </w:t>
      </w:r>
    </w:p>
    <w:p w:rsidR="00BE5945" w:rsidRPr="00D57756" w:rsidRDefault="00BE5945" w:rsidP="00D57756">
      <w:pPr>
        <w:pStyle w:val="a6"/>
        <w:numPr>
          <w:ilvl w:val="0"/>
          <w:numId w:val="2"/>
        </w:numPr>
        <w:jc w:val="both"/>
        <w:rPr>
          <w:szCs w:val="28"/>
        </w:rPr>
      </w:pPr>
      <w:r w:rsidRPr="00D57756">
        <w:rPr>
          <w:szCs w:val="28"/>
        </w:rPr>
        <w:t xml:space="preserve"> Основной особенностью внесенного проекта бюджета городского поселения на 2023 год является его </w:t>
      </w:r>
      <w:proofErr w:type="spellStart"/>
      <w:r w:rsidRPr="00D57756">
        <w:rPr>
          <w:szCs w:val="28"/>
        </w:rPr>
        <w:t>бездефицитность</w:t>
      </w:r>
      <w:proofErr w:type="spellEnd"/>
      <w:r w:rsidRPr="00D57756">
        <w:rPr>
          <w:szCs w:val="28"/>
        </w:rPr>
        <w:t xml:space="preserve">.       </w:t>
      </w:r>
    </w:p>
    <w:p w:rsidR="00BE5945" w:rsidRPr="005E493C" w:rsidRDefault="00BE5945" w:rsidP="005E493C">
      <w:pPr>
        <w:pStyle w:val="a6"/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 w:rsidRPr="005E493C">
        <w:rPr>
          <w:szCs w:val="28"/>
        </w:rPr>
        <w:t xml:space="preserve">Бюджет муниципального образования </w:t>
      </w:r>
      <w:proofErr w:type="spellStart"/>
      <w:r w:rsidRPr="005E493C">
        <w:rPr>
          <w:szCs w:val="28"/>
        </w:rPr>
        <w:t>Бесланского</w:t>
      </w:r>
      <w:proofErr w:type="spellEnd"/>
      <w:r w:rsidRPr="005E493C">
        <w:rPr>
          <w:szCs w:val="28"/>
        </w:rPr>
        <w:t xml:space="preserve"> городского поселения на 2023 год сбалансирован.</w:t>
      </w:r>
    </w:p>
    <w:p w:rsidR="0063066C" w:rsidRPr="00D57756" w:rsidRDefault="0063066C" w:rsidP="0063066C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D57756">
        <w:rPr>
          <w:rFonts w:ascii="Times New Roman" w:hAnsi="Times New Roman"/>
          <w:bCs/>
          <w:sz w:val="28"/>
          <w:szCs w:val="28"/>
        </w:rPr>
        <w:t xml:space="preserve">Учитывая отсутствие в доходной части бюджета безвозмездных поступлений, администрации местного самоуправления </w:t>
      </w:r>
      <w:proofErr w:type="spellStart"/>
      <w:r w:rsidRPr="00D57756">
        <w:rPr>
          <w:rFonts w:ascii="Times New Roman" w:hAnsi="Times New Roman"/>
          <w:bCs/>
          <w:sz w:val="28"/>
          <w:szCs w:val="28"/>
        </w:rPr>
        <w:t>Бесланского</w:t>
      </w:r>
      <w:proofErr w:type="spellEnd"/>
      <w:r w:rsidRPr="00D57756">
        <w:rPr>
          <w:rFonts w:ascii="Times New Roman" w:hAnsi="Times New Roman"/>
          <w:bCs/>
          <w:sz w:val="28"/>
          <w:szCs w:val="28"/>
        </w:rPr>
        <w:t xml:space="preserve"> городского поселения необходимо усилить работу по увеличению доходной части бюджета по неналоговым поступлениям, организации работы по взысканию дебиторской задолженности по доходам, оптимизации работы муниципальных бюджетных и унитарных предприятий.</w:t>
      </w:r>
    </w:p>
    <w:p w:rsidR="0063066C" w:rsidRPr="00D57756" w:rsidRDefault="00EA10E8" w:rsidP="0063066C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57756">
        <w:rPr>
          <w:rFonts w:ascii="Times New Roman" w:hAnsi="Times New Roman"/>
          <w:bCs/>
          <w:sz w:val="28"/>
          <w:szCs w:val="28"/>
        </w:rPr>
        <w:t xml:space="preserve"> </w:t>
      </w:r>
      <w:r w:rsidR="0063066C" w:rsidRPr="00D57756">
        <w:rPr>
          <w:rFonts w:ascii="Times New Roman" w:hAnsi="Times New Roman"/>
          <w:bCs/>
          <w:sz w:val="28"/>
          <w:szCs w:val="28"/>
        </w:rPr>
        <w:t>Результаты анализа проекта бюджета в части прогнозируемых доходов на 2023 год в целом свидетельствуют о соблюдении требований бюджетного законодательства, предъявляемых к стадии формирования бюджета.</w:t>
      </w:r>
    </w:p>
    <w:p w:rsidR="00994942" w:rsidRPr="00EA10E8" w:rsidRDefault="00994942" w:rsidP="00AD5742">
      <w:pPr>
        <w:pStyle w:val="a6"/>
        <w:numPr>
          <w:ilvl w:val="0"/>
          <w:numId w:val="2"/>
        </w:numPr>
        <w:jc w:val="both"/>
        <w:rPr>
          <w:szCs w:val="28"/>
        </w:rPr>
      </w:pPr>
      <w:r w:rsidRPr="0063066C">
        <w:rPr>
          <w:color w:val="000000"/>
          <w:szCs w:val="28"/>
          <w:shd w:val="clear" w:color="auto" w:fill="FFFFFF"/>
        </w:rPr>
        <w:t xml:space="preserve">Администрация </w:t>
      </w:r>
      <w:proofErr w:type="spellStart"/>
      <w:r w:rsidRPr="0063066C">
        <w:rPr>
          <w:color w:val="000000"/>
          <w:szCs w:val="28"/>
          <w:shd w:val="clear" w:color="auto" w:fill="FFFFFF"/>
        </w:rPr>
        <w:t>Бесланского</w:t>
      </w:r>
      <w:proofErr w:type="spellEnd"/>
      <w:r w:rsidRPr="0063066C">
        <w:rPr>
          <w:color w:val="000000"/>
          <w:szCs w:val="28"/>
          <w:shd w:val="clear" w:color="auto" w:fill="FFFFFF"/>
        </w:rPr>
        <w:t xml:space="preserve"> городского поселения, являясь органом местного самоуправления, обязана принять необходимые меры для обеспечения уличного освещения на территории </w:t>
      </w:r>
      <w:proofErr w:type="spellStart"/>
      <w:r w:rsidRPr="0063066C">
        <w:rPr>
          <w:color w:val="000000"/>
          <w:szCs w:val="28"/>
          <w:shd w:val="clear" w:color="auto" w:fill="FFFFFF"/>
        </w:rPr>
        <w:t>г</w:t>
      </w:r>
      <w:proofErr w:type="gramStart"/>
      <w:r w:rsidRPr="0063066C">
        <w:rPr>
          <w:color w:val="000000"/>
          <w:szCs w:val="28"/>
          <w:shd w:val="clear" w:color="auto" w:fill="FFFFFF"/>
        </w:rPr>
        <w:t>.Б</w:t>
      </w:r>
      <w:proofErr w:type="gramEnd"/>
      <w:r w:rsidRPr="0063066C">
        <w:rPr>
          <w:color w:val="000000"/>
          <w:szCs w:val="28"/>
          <w:shd w:val="clear" w:color="auto" w:fill="FFFFFF"/>
        </w:rPr>
        <w:t>еслана</w:t>
      </w:r>
      <w:proofErr w:type="spellEnd"/>
      <w:r w:rsidRPr="0063066C">
        <w:rPr>
          <w:color w:val="000000"/>
          <w:szCs w:val="28"/>
          <w:shd w:val="clear" w:color="auto" w:fill="FFFFFF"/>
        </w:rPr>
        <w:t>. Однако, в нарушение требований федерального законодательства, в представленном проекте бюджета отсутствуют прогнозируемые лимиты на оплату уличного освещения на территориях общего пользования.</w:t>
      </w:r>
    </w:p>
    <w:p w:rsidR="005E493C" w:rsidRDefault="005E493C" w:rsidP="005E493C">
      <w:pPr>
        <w:ind w:left="667"/>
        <w:jc w:val="both"/>
        <w:rPr>
          <w:szCs w:val="28"/>
        </w:rPr>
      </w:pPr>
    </w:p>
    <w:p w:rsidR="005E493C" w:rsidRDefault="005E493C" w:rsidP="005E493C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</w:t>
      </w:r>
      <w:r w:rsidR="00EE55AC" w:rsidRPr="005E493C">
        <w:rPr>
          <w:b/>
          <w:color w:val="000000"/>
          <w:szCs w:val="28"/>
          <w:shd w:val="clear" w:color="auto" w:fill="FFFFFF"/>
        </w:rPr>
        <w:t xml:space="preserve"> </w:t>
      </w:r>
      <w:proofErr w:type="gramStart"/>
      <w:r w:rsidR="00EE55AC" w:rsidRPr="005E493C">
        <w:rPr>
          <w:b/>
          <w:color w:val="000000"/>
          <w:szCs w:val="28"/>
          <w:shd w:val="clear" w:color="auto" w:fill="FFFFFF"/>
        </w:rPr>
        <w:t xml:space="preserve">Контрольно-счетная палата </w:t>
      </w:r>
      <w:proofErr w:type="spellStart"/>
      <w:r w:rsidR="00EE55AC" w:rsidRPr="005E493C">
        <w:rPr>
          <w:b/>
          <w:color w:val="000000"/>
          <w:szCs w:val="28"/>
          <w:shd w:val="clear" w:color="auto" w:fill="FFFFFF"/>
        </w:rPr>
        <w:t>Бесланского</w:t>
      </w:r>
      <w:proofErr w:type="spellEnd"/>
      <w:r w:rsidR="00EE55AC" w:rsidRPr="005E493C">
        <w:rPr>
          <w:b/>
          <w:color w:val="000000"/>
          <w:szCs w:val="28"/>
          <w:shd w:val="clear" w:color="auto" w:fill="FFFFFF"/>
        </w:rPr>
        <w:t xml:space="preserve"> городского поселения</w:t>
      </w:r>
      <w:r w:rsidR="00EA10E8" w:rsidRPr="005E493C">
        <w:rPr>
          <w:b/>
          <w:color w:val="000000"/>
          <w:szCs w:val="28"/>
          <w:shd w:val="clear" w:color="auto" w:fill="FFFFFF"/>
        </w:rPr>
        <w:t>,</w:t>
      </w:r>
      <w:r w:rsidR="00EE55AC" w:rsidRPr="005E493C">
        <w:rPr>
          <w:b/>
          <w:color w:val="000000"/>
          <w:szCs w:val="28"/>
          <w:shd w:val="clear" w:color="auto" w:fill="FFFFFF"/>
        </w:rPr>
        <w:t xml:space="preserve"> преследуя цель создания благоприятных условий проживания и жизнедеятельности, защиты прав неопределенного круга лиц на личную неприкосновенность, а также руководствуясь положениями Федерального Закона</w:t>
      </w:r>
      <w:r w:rsidR="00EE55AC" w:rsidRPr="005E493C">
        <w:rPr>
          <w:b/>
        </w:rPr>
        <w:t xml:space="preserve"> </w:t>
      </w:r>
      <w:r w:rsidR="00EE55AC" w:rsidRPr="005E493C">
        <w:rPr>
          <w:b/>
          <w:color w:val="000000"/>
          <w:szCs w:val="28"/>
          <w:shd w:val="clear" w:color="auto" w:fill="FFFFFF"/>
        </w:rPr>
        <w:t xml:space="preserve">от 06.10.2003 N 131-ФЗ "Об общих принципах организации местного самоуправления в Российской Федерации",  Бюджетного кодекса Российской Федерации" рекомендует предусмотреть в проекте бюджета МО </w:t>
      </w:r>
      <w:proofErr w:type="spellStart"/>
      <w:r w:rsidR="00EE55AC" w:rsidRPr="005E493C">
        <w:rPr>
          <w:b/>
          <w:color w:val="000000"/>
          <w:szCs w:val="28"/>
          <w:shd w:val="clear" w:color="auto" w:fill="FFFFFF"/>
        </w:rPr>
        <w:t>Бесланского</w:t>
      </w:r>
      <w:proofErr w:type="spellEnd"/>
      <w:r w:rsidR="00EE55AC" w:rsidRPr="005E493C">
        <w:rPr>
          <w:b/>
          <w:color w:val="000000"/>
          <w:szCs w:val="28"/>
          <w:shd w:val="clear" w:color="auto" w:fill="FFFFFF"/>
        </w:rPr>
        <w:t xml:space="preserve"> городского поселения  на 2023</w:t>
      </w:r>
      <w:r w:rsidRPr="005E493C">
        <w:rPr>
          <w:b/>
          <w:color w:val="000000"/>
          <w:szCs w:val="28"/>
          <w:shd w:val="clear" w:color="auto" w:fill="FFFFFF"/>
        </w:rPr>
        <w:t xml:space="preserve"> </w:t>
      </w:r>
      <w:r w:rsidR="00EE55AC" w:rsidRPr="005E493C">
        <w:rPr>
          <w:b/>
          <w:color w:val="000000"/>
          <w:szCs w:val="28"/>
          <w:shd w:val="clear" w:color="auto" w:fill="FFFFFF"/>
        </w:rPr>
        <w:t xml:space="preserve">год </w:t>
      </w:r>
      <w:r w:rsidR="00972061" w:rsidRPr="005E493C">
        <w:rPr>
          <w:b/>
          <w:color w:val="000000"/>
          <w:szCs w:val="28"/>
          <w:shd w:val="clear" w:color="auto" w:fill="FFFFFF"/>
        </w:rPr>
        <w:t xml:space="preserve"> денежные лимиты на</w:t>
      </w:r>
      <w:r w:rsidR="00EE55AC" w:rsidRPr="005E493C">
        <w:rPr>
          <w:b/>
          <w:color w:val="000000"/>
          <w:szCs w:val="28"/>
          <w:shd w:val="clear" w:color="auto" w:fill="FFFFFF"/>
        </w:rPr>
        <w:t xml:space="preserve"> оплат</w:t>
      </w:r>
      <w:r w:rsidR="00972061" w:rsidRPr="005E493C">
        <w:rPr>
          <w:b/>
          <w:color w:val="000000"/>
          <w:szCs w:val="28"/>
          <w:shd w:val="clear" w:color="auto" w:fill="FFFFFF"/>
        </w:rPr>
        <w:t>у</w:t>
      </w:r>
      <w:proofErr w:type="gramEnd"/>
      <w:r w:rsidR="00EE55AC" w:rsidRPr="005E493C">
        <w:rPr>
          <w:b/>
          <w:color w:val="000000"/>
          <w:szCs w:val="28"/>
          <w:shd w:val="clear" w:color="auto" w:fill="FFFFFF"/>
        </w:rPr>
        <w:t xml:space="preserve"> уличного освещения. </w:t>
      </w:r>
      <w:r w:rsidR="00972061" w:rsidRPr="005E493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 </w:t>
      </w:r>
      <w:r w:rsidR="00972061" w:rsidRPr="005E493C">
        <w:rPr>
          <w:b/>
          <w:color w:val="000000"/>
          <w:szCs w:val="28"/>
          <w:shd w:val="clear" w:color="auto" w:fill="FFFFFF"/>
        </w:rPr>
        <w:t>При этом конкретный способ реализации данной обязанности вправе избрать сам орган местного самоуправления</w:t>
      </w:r>
      <w:r w:rsidR="00972061" w:rsidRPr="005E493C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.</w:t>
      </w:r>
      <w:r w:rsidR="00EE55AC" w:rsidRPr="005E493C">
        <w:rPr>
          <w:b/>
          <w:color w:val="000000"/>
          <w:szCs w:val="28"/>
        </w:rPr>
        <w:br/>
      </w:r>
    </w:p>
    <w:p w:rsidR="005E493C" w:rsidRPr="005E493C" w:rsidRDefault="005E493C" w:rsidP="005E493C">
      <w:pPr>
        <w:ind w:left="360"/>
        <w:jc w:val="both"/>
        <w:rPr>
          <w:szCs w:val="28"/>
        </w:rPr>
      </w:pPr>
      <w:r>
        <w:rPr>
          <w:b/>
          <w:color w:val="000000"/>
          <w:szCs w:val="28"/>
          <w:shd w:val="clear" w:color="auto" w:fill="FFFFFF"/>
        </w:rPr>
        <w:t xml:space="preserve">            </w:t>
      </w:r>
      <w:r w:rsidRPr="005E493C">
        <w:rPr>
          <w:szCs w:val="28"/>
        </w:rPr>
        <w:t xml:space="preserve">Собранию представителей МО </w:t>
      </w:r>
      <w:proofErr w:type="spellStart"/>
      <w:r w:rsidRPr="005E493C">
        <w:rPr>
          <w:szCs w:val="28"/>
        </w:rPr>
        <w:t>Бесланского</w:t>
      </w:r>
      <w:proofErr w:type="spellEnd"/>
      <w:r w:rsidRPr="005E493C">
        <w:rPr>
          <w:szCs w:val="28"/>
        </w:rPr>
        <w:t xml:space="preserve"> городского поселения  Правобережного района РСО-Алания предлагается рассмотреть проект решения Собрания представителей «О бюджете МО </w:t>
      </w:r>
      <w:proofErr w:type="spellStart"/>
      <w:r w:rsidRPr="005E493C">
        <w:rPr>
          <w:szCs w:val="28"/>
        </w:rPr>
        <w:t>Бесланского</w:t>
      </w:r>
      <w:proofErr w:type="spellEnd"/>
      <w:r w:rsidRPr="005E493C">
        <w:rPr>
          <w:szCs w:val="28"/>
        </w:rPr>
        <w:t xml:space="preserve"> городского поселения на 2023год» и утвердить со следующими показателями.</w:t>
      </w:r>
    </w:p>
    <w:p w:rsidR="005E493C" w:rsidRDefault="005E493C" w:rsidP="005E493C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Общий объем доходов бюджета на 2021 год в сумме 84200тыс. рублей.</w:t>
      </w:r>
    </w:p>
    <w:p w:rsidR="005E493C" w:rsidRDefault="005E493C" w:rsidP="005E493C">
      <w:pPr>
        <w:numPr>
          <w:ilvl w:val="0"/>
          <w:numId w:val="1"/>
        </w:numPr>
        <w:jc w:val="both"/>
        <w:rPr>
          <w:szCs w:val="28"/>
        </w:rPr>
      </w:pPr>
      <w:r w:rsidRPr="00817B0D">
        <w:rPr>
          <w:szCs w:val="28"/>
        </w:rPr>
        <w:t xml:space="preserve">Общий объем расходов бюджета в сумме </w:t>
      </w:r>
      <w:r>
        <w:rPr>
          <w:szCs w:val="28"/>
        </w:rPr>
        <w:t>84200</w:t>
      </w:r>
      <w:r w:rsidRPr="00817B0D">
        <w:rPr>
          <w:szCs w:val="28"/>
        </w:rPr>
        <w:t xml:space="preserve"> тыс. рублей.</w:t>
      </w:r>
    </w:p>
    <w:p w:rsidR="005E493C" w:rsidRDefault="005E493C" w:rsidP="005E493C">
      <w:pPr>
        <w:numPr>
          <w:ilvl w:val="0"/>
          <w:numId w:val="1"/>
        </w:numPr>
        <w:jc w:val="both"/>
        <w:rPr>
          <w:szCs w:val="28"/>
        </w:rPr>
      </w:pPr>
      <w:r w:rsidRPr="00817B0D">
        <w:rPr>
          <w:szCs w:val="28"/>
        </w:rPr>
        <w:t xml:space="preserve">Резервный фонд АМС 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</w:t>
      </w:r>
      <w:r w:rsidRPr="00817B0D">
        <w:rPr>
          <w:szCs w:val="28"/>
        </w:rPr>
        <w:t xml:space="preserve"> в сумме </w:t>
      </w:r>
      <w:r>
        <w:rPr>
          <w:szCs w:val="28"/>
        </w:rPr>
        <w:t>2000</w:t>
      </w:r>
      <w:r w:rsidRPr="00817B0D">
        <w:rPr>
          <w:szCs w:val="28"/>
        </w:rPr>
        <w:t>,0 тыс. руб.</w:t>
      </w:r>
    </w:p>
    <w:p w:rsidR="00AD5742" w:rsidRPr="00EA10E8" w:rsidRDefault="00AD5742" w:rsidP="00AD5742">
      <w:pPr>
        <w:jc w:val="both"/>
        <w:rPr>
          <w:b/>
          <w:szCs w:val="28"/>
        </w:rPr>
      </w:pPr>
    </w:p>
    <w:p w:rsidR="00EA10E8" w:rsidRDefault="00EA10E8" w:rsidP="005E493C">
      <w:pPr>
        <w:numPr>
          <w:ilvl w:val="0"/>
          <w:numId w:val="3"/>
        </w:numPr>
        <w:ind w:left="0" w:firstLine="0"/>
        <w:contextualSpacing/>
        <w:jc w:val="both"/>
        <w:textAlignment w:val="baseline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    </w:t>
      </w:r>
      <w:r w:rsidR="005E493C">
        <w:rPr>
          <w:b/>
          <w:szCs w:val="28"/>
          <w:lang w:eastAsia="ru-RU"/>
        </w:rPr>
        <w:t xml:space="preserve">              </w:t>
      </w:r>
      <w:r>
        <w:rPr>
          <w:b/>
          <w:szCs w:val="28"/>
          <w:lang w:eastAsia="ru-RU"/>
        </w:rPr>
        <w:t xml:space="preserve">Таким образом, </w:t>
      </w:r>
      <w:r>
        <w:rPr>
          <w:b/>
          <w:szCs w:val="28"/>
        </w:rPr>
        <w:t xml:space="preserve">Контрольно-счетная палата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  <w:r>
        <w:rPr>
          <w:b/>
          <w:szCs w:val="28"/>
        </w:rPr>
        <w:t xml:space="preserve"> считает</w:t>
      </w:r>
      <w:r>
        <w:rPr>
          <w:b/>
          <w:szCs w:val="28"/>
          <w:lang w:eastAsia="ru-RU"/>
        </w:rPr>
        <w:t xml:space="preserve">, что </w:t>
      </w:r>
      <w:r>
        <w:rPr>
          <w:b/>
          <w:szCs w:val="28"/>
        </w:rPr>
        <w:t xml:space="preserve">проект решения Собрания представителей </w:t>
      </w:r>
      <w:proofErr w:type="spellStart"/>
      <w:r>
        <w:rPr>
          <w:b/>
          <w:szCs w:val="28"/>
        </w:rPr>
        <w:t>Бесланского</w:t>
      </w:r>
      <w:proofErr w:type="spellEnd"/>
      <w:r>
        <w:rPr>
          <w:b/>
          <w:szCs w:val="28"/>
        </w:rPr>
        <w:t xml:space="preserve"> городского поселения</w:t>
      </w:r>
      <w:r>
        <w:rPr>
          <w:b/>
          <w:szCs w:val="28"/>
        </w:rPr>
        <w:t xml:space="preserve"> </w:t>
      </w:r>
      <w:r>
        <w:rPr>
          <w:b/>
          <w:szCs w:val="28"/>
          <w:lang w:eastAsia="ru-RU"/>
        </w:rPr>
        <w:t xml:space="preserve">«О бюджете муниципального образования </w:t>
      </w:r>
      <w:proofErr w:type="spellStart"/>
      <w:r>
        <w:rPr>
          <w:b/>
          <w:szCs w:val="28"/>
          <w:lang w:eastAsia="ru-RU"/>
        </w:rPr>
        <w:t>Бесланского</w:t>
      </w:r>
      <w:proofErr w:type="spellEnd"/>
      <w:r>
        <w:rPr>
          <w:b/>
          <w:szCs w:val="28"/>
          <w:lang w:eastAsia="ru-RU"/>
        </w:rPr>
        <w:t xml:space="preserve"> городского поселения на 2023 год</w:t>
      </w:r>
      <w:r>
        <w:rPr>
          <w:b/>
          <w:szCs w:val="28"/>
          <w:lang w:eastAsia="ru-RU"/>
        </w:rPr>
        <w:t>» может быть рекомендован к принятию с учетом выводов и предложений, изложенных в настоящем заключении.</w:t>
      </w:r>
    </w:p>
    <w:p w:rsidR="00972061" w:rsidRDefault="00972061" w:rsidP="00AD5742">
      <w:pPr>
        <w:jc w:val="both"/>
        <w:rPr>
          <w:szCs w:val="28"/>
        </w:rPr>
      </w:pPr>
    </w:p>
    <w:p w:rsidR="005E493C" w:rsidRDefault="005E493C" w:rsidP="00AD5742">
      <w:pPr>
        <w:jc w:val="both"/>
        <w:rPr>
          <w:szCs w:val="28"/>
        </w:rPr>
      </w:pPr>
    </w:p>
    <w:p w:rsidR="00972061" w:rsidRDefault="00972061" w:rsidP="00AD5742">
      <w:pPr>
        <w:jc w:val="both"/>
        <w:rPr>
          <w:szCs w:val="28"/>
        </w:rPr>
      </w:pPr>
    </w:p>
    <w:p w:rsidR="00AD5742" w:rsidRDefault="00AD5742" w:rsidP="00AD5742">
      <w:pPr>
        <w:rPr>
          <w:szCs w:val="28"/>
        </w:rPr>
      </w:pPr>
    </w:p>
    <w:p w:rsidR="00AD5742" w:rsidRDefault="00AD5742" w:rsidP="00AD5742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AD5742" w:rsidRDefault="00AD5742" w:rsidP="00AD5742">
      <w:pPr>
        <w:rPr>
          <w:szCs w:val="28"/>
        </w:rPr>
      </w:pPr>
      <w:r>
        <w:rPr>
          <w:szCs w:val="28"/>
        </w:rPr>
        <w:t xml:space="preserve">Контрольно-счетной палаты </w:t>
      </w:r>
    </w:p>
    <w:p w:rsidR="00AD5742" w:rsidRDefault="00AD5742" w:rsidP="00AD5742">
      <w:pPr>
        <w:rPr>
          <w:szCs w:val="28"/>
        </w:rPr>
      </w:pPr>
      <w:r>
        <w:rPr>
          <w:szCs w:val="28"/>
        </w:rPr>
        <w:t xml:space="preserve">МО </w:t>
      </w:r>
      <w:proofErr w:type="spellStart"/>
      <w:r>
        <w:rPr>
          <w:szCs w:val="28"/>
        </w:rPr>
        <w:t>Бесланского</w:t>
      </w:r>
      <w:proofErr w:type="spellEnd"/>
      <w:r>
        <w:rPr>
          <w:szCs w:val="28"/>
        </w:rPr>
        <w:t xml:space="preserve"> городского поселения                                   </w:t>
      </w:r>
      <w:proofErr w:type="spellStart"/>
      <w:r>
        <w:rPr>
          <w:szCs w:val="28"/>
        </w:rPr>
        <w:t>С.И.Фидарова</w:t>
      </w:r>
      <w:proofErr w:type="spellEnd"/>
      <w:r>
        <w:rPr>
          <w:szCs w:val="28"/>
        </w:rPr>
        <w:t xml:space="preserve">                                                           </w:t>
      </w:r>
    </w:p>
    <w:p w:rsidR="00AD5742" w:rsidRPr="00A57AD4" w:rsidRDefault="00AD5742" w:rsidP="00AD5742">
      <w:pPr>
        <w:rPr>
          <w:sz w:val="40"/>
          <w:szCs w:val="40"/>
        </w:rPr>
      </w:pPr>
      <w:r>
        <w:rPr>
          <w:szCs w:val="28"/>
        </w:rPr>
        <w:t xml:space="preserve">                                </w:t>
      </w:r>
    </w:p>
    <w:p w:rsidR="00EE55AC" w:rsidRPr="005C3108" w:rsidRDefault="002057B0" w:rsidP="00EE55AC">
      <w:pPr>
        <w:jc w:val="both"/>
        <w:rPr>
          <w:color w:val="000000"/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     </w:t>
      </w:r>
    </w:p>
    <w:p w:rsidR="00AD5742" w:rsidRPr="005C3108" w:rsidRDefault="005C3108" w:rsidP="005C3108">
      <w:pPr>
        <w:jc w:val="both"/>
        <w:rPr>
          <w:szCs w:val="28"/>
        </w:rPr>
      </w:pPr>
      <w:r w:rsidRPr="005C3108">
        <w:rPr>
          <w:color w:val="000000"/>
          <w:szCs w:val="28"/>
        </w:rPr>
        <w:br/>
      </w:r>
      <w:r w:rsidRPr="005C3108">
        <w:rPr>
          <w:color w:val="000000"/>
          <w:szCs w:val="28"/>
        </w:rPr>
        <w:br/>
      </w:r>
    </w:p>
    <w:p w:rsidR="00AD5742" w:rsidRPr="005C3108" w:rsidRDefault="00AD5742" w:rsidP="00AD5742">
      <w:pPr>
        <w:rPr>
          <w:szCs w:val="28"/>
        </w:rPr>
      </w:pPr>
    </w:p>
    <w:p w:rsidR="00AD5742" w:rsidRDefault="00AD5742" w:rsidP="00AD5742"/>
    <w:p w:rsidR="00AD5742" w:rsidRDefault="00AD5742" w:rsidP="00AD5742"/>
    <w:p w:rsidR="00AD5742" w:rsidRDefault="00AD5742" w:rsidP="00AD5742"/>
    <w:p w:rsidR="00AD5742" w:rsidRDefault="00AD5742" w:rsidP="00AD5742"/>
    <w:p w:rsidR="001F3D7D" w:rsidRDefault="001F3D7D"/>
    <w:sectPr w:rsidR="001F3D7D" w:rsidSect="00AD57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E5397E"/>
    <w:multiLevelType w:val="hybridMultilevel"/>
    <w:tmpl w:val="E2D2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62B76"/>
    <w:multiLevelType w:val="hybridMultilevel"/>
    <w:tmpl w:val="76C4B31C"/>
    <w:lvl w:ilvl="0" w:tplc="A56CC0E4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42"/>
    <w:rsid w:val="00003214"/>
    <w:rsid w:val="000126BF"/>
    <w:rsid w:val="000139F3"/>
    <w:rsid w:val="00062C91"/>
    <w:rsid w:val="00084DEE"/>
    <w:rsid w:val="000D6BB2"/>
    <w:rsid w:val="00101153"/>
    <w:rsid w:val="00136565"/>
    <w:rsid w:val="0015391B"/>
    <w:rsid w:val="00163D03"/>
    <w:rsid w:val="00166AC9"/>
    <w:rsid w:val="00185851"/>
    <w:rsid w:val="001C2485"/>
    <w:rsid w:val="001C6F18"/>
    <w:rsid w:val="001F3D7D"/>
    <w:rsid w:val="002057B0"/>
    <w:rsid w:val="00267ADA"/>
    <w:rsid w:val="00274F43"/>
    <w:rsid w:val="00290A4D"/>
    <w:rsid w:val="002A356F"/>
    <w:rsid w:val="002D5C10"/>
    <w:rsid w:val="002F7AAC"/>
    <w:rsid w:val="00422BC7"/>
    <w:rsid w:val="00453D43"/>
    <w:rsid w:val="004B5017"/>
    <w:rsid w:val="00576DAD"/>
    <w:rsid w:val="005C3108"/>
    <w:rsid w:val="005E493C"/>
    <w:rsid w:val="0063066C"/>
    <w:rsid w:val="0065545A"/>
    <w:rsid w:val="00666C87"/>
    <w:rsid w:val="006D78C7"/>
    <w:rsid w:val="006E3C9E"/>
    <w:rsid w:val="006E70D8"/>
    <w:rsid w:val="0076384D"/>
    <w:rsid w:val="007B2358"/>
    <w:rsid w:val="007C6A8E"/>
    <w:rsid w:val="008554BC"/>
    <w:rsid w:val="008B5972"/>
    <w:rsid w:val="008F0399"/>
    <w:rsid w:val="00972061"/>
    <w:rsid w:val="00994942"/>
    <w:rsid w:val="009F2088"/>
    <w:rsid w:val="00A50119"/>
    <w:rsid w:val="00A93D0A"/>
    <w:rsid w:val="00AD5742"/>
    <w:rsid w:val="00AE4874"/>
    <w:rsid w:val="00B24EB3"/>
    <w:rsid w:val="00B37BA0"/>
    <w:rsid w:val="00B8301D"/>
    <w:rsid w:val="00B962ED"/>
    <w:rsid w:val="00BE5945"/>
    <w:rsid w:val="00C76A65"/>
    <w:rsid w:val="00D57756"/>
    <w:rsid w:val="00DB27D5"/>
    <w:rsid w:val="00DF743F"/>
    <w:rsid w:val="00EA10E8"/>
    <w:rsid w:val="00EA5BBC"/>
    <w:rsid w:val="00EE55AC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742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D5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AD5742"/>
    <w:rPr>
      <w:b/>
      <w:bCs/>
    </w:rPr>
  </w:style>
  <w:style w:type="paragraph" w:styleId="a6">
    <w:name w:val="List Paragraph"/>
    <w:basedOn w:val="a"/>
    <w:uiPriority w:val="34"/>
    <w:qFormat/>
    <w:rsid w:val="00AD5742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AD574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D5742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semiHidden/>
    <w:unhideWhenUsed/>
    <w:rsid w:val="005C3108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8554BC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8554BC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742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D5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D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AD5742"/>
    <w:rPr>
      <w:b/>
      <w:bCs/>
    </w:rPr>
  </w:style>
  <w:style w:type="paragraph" w:styleId="a6">
    <w:name w:val="List Paragraph"/>
    <w:basedOn w:val="a"/>
    <w:uiPriority w:val="34"/>
    <w:qFormat/>
    <w:rsid w:val="00AD5742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AD574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D5742"/>
    <w:rPr>
      <w:rFonts w:ascii="Times New Roman" w:eastAsia="Calibri" w:hAnsi="Times New Roman" w:cs="Times New Roman"/>
      <w:sz w:val="28"/>
    </w:rPr>
  </w:style>
  <w:style w:type="character" w:styleId="a9">
    <w:name w:val="Hyperlink"/>
    <w:basedOn w:val="a0"/>
    <w:uiPriority w:val="99"/>
    <w:semiHidden/>
    <w:unhideWhenUsed/>
    <w:rsid w:val="005C3108"/>
    <w:rPr>
      <w:color w:val="0000FF"/>
      <w:u w:val="single"/>
    </w:rPr>
  </w:style>
  <w:style w:type="character" w:customStyle="1" w:styleId="aa">
    <w:name w:val="Без интервала Знак"/>
    <w:link w:val="ab"/>
    <w:uiPriority w:val="1"/>
    <w:locked/>
    <w:rsid w:val="008554BC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8554B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7FE6-1B01-4977-99B6-ADB3763E6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12</Pages>
  <Words>3536</Words>
  <Characters>20160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SvetaFidarova</dc:creator>
  <cp:lastModifiedBy>SvetaFidarova</cp:lastModifiedBy>
  <cp:revision>4</cp:revision>
  <cp:lastPrinted>2022-11-02T13:27:00Z</cp:lastPrinted>
  <dcterms:created xsi:type="dcterms:W3CDTF">2022-11-01T09:02:00Z</dcterms:created>
  <dcterms:modified xsi:type="dcterms:W3CDTF">2022-11-03T08:09:00Z</dcterms:modified>
</cp:coreProperties>
</file>