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B" w:rsidRDefault="00472B3B" w:rsidP="00C94F60">
      <w:pPr>
        <w:rPr>
          <w:b/>
          <w:sz w:val="22"/>
        </w:rPr>
      </w:pPr>
      <w:bookmarkStart w:id="0" w:name="_GoBack"/>
      <w:bookmarkEnd w:id="0"/>
    </w:p>
    <w:p w:rsidR="00CA1AD1" w:rsidRPr="00A728CC" w:rsidRDefault="00CA1AD1" w:rsidP="00CA1AD1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CA1AD1" w:rsidRPr="00A728CC" w:rsidRDefault="00CA1AD1" w:rsidP="00CA1AD1">
      <w:pPr>
        <w:jc w:val="right"/>
      </w:pPr>
      <w:r w:rsidRPr="00A728CC">
        <w:t xml:space="preserve">к Решению Собрания представителей </w:t>
      </w:r>
    </w:p>
    <w:p w:rsidR="00CA1AD1" w:rsidRPr="00A728CC" w:rsidRDefault="00CA1AD1" w:rsidP="00CA1AD1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CA1AD1" w:rsidP="00CA1AD1">
      <w:pPr>
        <w:jc w:val="right"/>
        <w:rPr>
          <w:b/>
          <w:szCs w:val="28"/>
        </w:rPr>
      </w:pPr>
      <w:r>
        <w:t>от «__» __________ 2022</w:t>
      </w:r>
      <w:r w:rsidRPr="00A728CC">
        <w:t xml:space="preserve"> г. №____</w:t>
      </w:r>
    </w:p>
    <w:p w:rsidR="00CA1AD1" w:rsidRDefault="00CA1AD1" w:rsidP="00CA1AD1">
      <w:pPr>
        <w:rPr>
          <w:b/>
        </w:rPr>
      </w:pPr>
    </w:p>
    <w:p w:rsidR="00CA1AD1" w:rsidRDefault="00CA1AD1" w:rsidP="00CA1AD1">
      <w:pPr>
        <w:rPr>
          <w:b/>
        </w:rPr>
      </w:pPr>
    </w:p>
    <w:p w:rsidR="00CA1AD1" w:rsidRDefault="00CA1AD1" w:rsidP="00CA1AD1">
      <w:pPr>
        <w:rPr>
          <w:b/>
        </w:rPr>
      </w:pP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CA1AD1" w:rsidRDefault="00CA1AD1" w:rsidP="00CA1AD1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2022 год (с учетом изменений).</w:t>
      </w:r>
    </w:p>
    <w:p w:rsidR="00CA1AD1" w:rsidRDefault="00CA1AD1" w:rsidP="00CA1AD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CA1AD1" w:rsidTr="00195611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Tr="00195611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CF324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CF3246">
              <w:rPr>
                <w:b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CF3246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80 </w:t>
            </w:r>
            <w:r w:rsidR="00CF3246">
              <w:rPr>
                <w:b/>
                <w:szCs w:val="28"/>
                <w:lang w:eastAsia="en-US"/>
              </w:rPr>
              <w:t>630</w:t>
            </w:r>
          </w:p>
        </w:tc>
      </w:tr>
      <w:tr w:rsidR="00CA1AD1" w:rsidTr="00195611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CF324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69 100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CF324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4 184,4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Pr="000C0E36" w:rsidRDefault="00CA1AD1" w:rsidP="00CF3246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</w:t>
            </w:r>
            <w:r w:rsidR="00CF3246">
              <w:rPr>
                <w:i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Pr="000C0E36" w:rsidRDefault="00CF3246" w:rsidP="00195611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7 345,6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</w:t>
            </w:r>
            <w:r w:rsidR="00445CAF">
              <w:rPr>
                <w:b/>
                <w:szCs w:val="28"/>
                <w:lang w:eastAsia="en-US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84 600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-1</w:t>
            </w:r>
            <w:r w:rsidR="00445CAF">
              <w:rPr>
                <w:szCs w:val="28"/>
                <w:lang w:eastAsia="en-US"/>
              </w:rPr>
              <w:t> 130,3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15 839,7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+1 090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445CAF">
              <w:rPr>
                <w:szCs w:val="28"/>
                <w:lang w:eastAsia="en-US"/>
              </w:rPr>
              <w:t>2 090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9A12B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+2 957</w:t>
            </w:r>
            <w:r w:rsidR="00445CAF">
              <w:rPr>
                <w:szCs w:val="28"/>
                <w:lang w:eastAsia="en-US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9A12B6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62 657</w:t>
            </w:r>
            <w:r w:rsidR="00445CAF">
              <w:rPr>
                <w:szCs w:val="28"/>
                <w:lang w:eastAsia="en-US"/>
              </w:rPr>
              <w:t>,3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445CAF">
              <w:rPr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338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+1</w:t>
            </w:r>
            <w:r w:rsidR="00445CAF">
              <w:rPr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445CA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445CAF">
              <w:rPr>
                <w:szCs w:val="28"/>
                <w:lang w:eastAsia="en-US"/>
              </w:rPr>
              <w:t>1 00</w:t>
            </w:r>
            <w:r w:rsidR="009A12B6">
              <w:rPr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2 03</w:t>
            </w:r>
            <w:r w:rsidR="009A12B6">
              <w:rPr>
                <w:szCs w:val="28"/>
                <w:lang w:eastAsia="en-US"/>
              </w:rPr>
              <w:t>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445CAF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19561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CA1AD1" w:rsidTr="00195611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«-»,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D1" w:rsidRDefault="00CA1AD1" w:rsidP="00195611">
            <w:pPr>
              <w:jc w:val="right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1" w:rsidRDefault="00CA1AD1" w:rsidP="00445CAF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 w:rsidR="00445CAF">
              <w:rPr>
                <w:b/>
                <w:szCs w:val="28"/>
                <w:lang w:eastAsia="en-US"/>
              </w:rPr>
              <w:t>3 970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445CAF" w:rsidRDefault="00445CAF" w:rsidP="00CA1AD1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BE5FEF" w:rsidRDefault="00BE5FEF" w:rsidP="00C94F60">
      <w:pPr>
        <w:rPr>
          <w:b/>
          <w:sz w:val="22"/>
        </w:rPr>
      </w:pPr>
    </w:p>
    <w:p w:rsidR="00CA1AD1" w:rsidRPr="00A728CC" w:rsidRDefault="00CA1AD1" w:rsidP="00CA1AD1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CA1AD1" w:rsidRPr="00A728CC" w:rsidRDefault="00CA1AD1" w:rsidP="00CA1AD1">
      <w:pPr>
        <w:jc w:val="right"/>
      </w:pPr>
      <w:r w:rsidRPr="00A728CC">
        <w:t xml:space="preserve">к Решению Собрания представителей </w:t>
      </w:r>
    </w:p>
    <w:p w:rsidR="00CA1AD1" w:rsidRPr="00A728CC" w:rsidRDefault="00CA1AD1" w:rsidP="00CA1AD1">
      <w:pPr>
        <w:jc w:val="right"/>
      </w:pPr>
      <w:r w:rsidRPr="00A728CC">
        <w:t xml:space="preserve">Бесланского городского поселения </w:t>
      </w:r>
    </w:p>
    <w:p w:rsidR="00CA1AD1" w:rsidRPr="00A728CC" w:rsidRDefault="00CA1AD1" w:rsidP="00CA1AD1">
      <w:pPr>
        <w:jc w:val="right"/>
        <w:rPr>
          <w:b/>
          <w:szCs w:val="28"/>
        </w:rPr>
      </w:pPr>
      <w:r>
        <w:t>от «__» __________ 2022</w:t>
      </w:r>
      <w:r w:rsidRPr="00A728CC">
        <w:t xml:space="preserve"> г. №____</w:t>
      </w:r>
    </w:p>
    <w:p w:rsidR="00CA1AD1" w:rsidRDefault="00CA1AD1" w:rsidP="00CA1AD1">
      <w:pPr>
        <w:rPr>
          <w:b/>
          <w:sz w:val="22"/>
        </w:rPr>
      </w:pPr>
    </w:p>
    <w:p w:rsidR="00CA1AD1" w:rsidRDefault="00CA1AD1" w:rsidP="00CA1AD1">
      <w:pPr>
        <w:rPr>
          <w:b/>
          <w:sz w:val="22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CA1AD1" w:rsidRPr="00A728CC" w:rsidRDefault="00CA1AD1" w:rsidP="00CA1AD1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CA1AD1" w:rsidRPr="00A728CC" w:rsidRDefault="00CA1AD1" w:rsidP="00CA1AD1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</w:t>
            </w:r>
            <w:r w:rsidR="00CA1AD1">
              <w:rPr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CA1AD1">
              <w:rPr>
                <w:b/>
                <w:szCs w:val="28"/>
              </w:rPr>
              <w:t xml:space="preserve"> 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CA1AD1" w:rsidRPr="006A7788" w:rsidRDefault="00CA1AD1" w:rsidP="0019561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6A7788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CA1AD1">
              <w:rPr>
                <w:b/>
                <w:i/>
                <w:szCs w:val="28"/>
              </w:rPr>
              <w:t xml:space="preserve"> 000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A1AD1">
              <w:rPr>
                <w:b/>
                <w:szCs w:val="28"/>
              </w:rPr>
              <w:t xml:space="preserve"> 900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1 0</w:t>
            </w:r>
            <w:r w:rsidR="00CA1AD1">
              <w:rPr>
                <w:b/>
                <w:i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</w:t>
            </w:r>
            <w:r w:rsidR="00CA1AD1">
              <w:rPr>
                <w:b/>
                <w:szCs w:val="28"/>
              </w:rPr>
              <w:t>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1C5618" w:rsidRDefault="00CA1AD1" w:rsidP="00195611">
            <w:pPr>
              <w:rPr>
                <w:b/>
                <w:color w:val="000000"/>
              </w:rPr>
            </w:pPr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84 ,4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195611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84 ,4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A728CC" w:rsidRDefault="00CA1AD1" w:rsidP="00195611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CA1AD1" w:rsidRPr="00A728CC" w:rsidRDefault="00CA1AD1" w:rsidP="00BE1C9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</w:t>
            </w:r>
            <w:r w:rsidR="00BE1C95">
              <w:rPr>
                <w:b/>
                <w:i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A728CC" w:rsidRDefault="00BE1C95" w:rsidP="00195611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7 345,6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CA1AD1" w:rsidRPr="009A3317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7 345,6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CA1AD1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CA1AD1" w:rsidRPr="00D4561C" w:rsidRDefault="00CA1AD1" w:rsidP="0019561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374BF3" w:rsidRDefault="00CA1AD1" w:rsidP="00195611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CA1AD1" w:rsidRPr="00374BF3" w:rsidRDefault="00CA1AD1" w:rsidP="0019561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AD1" w:rsidRPr="00374BF3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7 315,6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455FDA" w:rsidRDefault="00CA1AD1" w:rsidP="001956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CA1AD1" w:rsidRPr="00455FDA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455FDA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Pr="00455FDA" w:rsidRDefault="00CA1AD1" w:rsidP="00195611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CA1AD1" w:rsidRPr="00455FDA" w:rsidRDefault="00CA1AD1" w:rsidP="001956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20245160000000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455FDA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455FDA" w:rsidRDefault="00BE1C95" w:rsidP="0019561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CA1AD1" w:rsidRPr="00A728CC" w:rsidTr="00195611">
        <w:tc>
          <w:tcPr>
            <w:tcW w:w="5850" w:type="dxa"/>
          </w:tcPr>
          <w:p w:rsidR="00CA1AD1" w:rsidRDefault="00CA1AD1" w:rsidP="00195611">
            <w:pPr>
              <w:rPr>
                <w:szCs w:val="28"/>
              </w:rPr>
            </w:pPr>
            <w:r w:rsidRPr="00455FDA">
              <w:rPr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CA1AD1" w:rsidRDefault="00CA1AD1" w:rsidP="00195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20245160130000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CA1AD1" w:rsidRPr="00374BF3" w:rsidRDefault="00CA1AD1" w:rsidP="00BE1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E1C95">
              <w:rPr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Default="00BE1C95" w:rsidP="0019561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CA1AD1" w:rsidRPr="00A728CC" w:rsidTr="00195611">
        <w:tc>
          <w:tcPr>
            <w:tcW w:w="5850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CA1AD1" w:rsidRPr="00A728CC" w:rsidRDefault="00CA1AD1" w:rsidP="00195611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1AD1" w:rsidRPr="00A728CC" w:rsidRDefault="00CA1AD1" w:rsidP="00BE1C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BE1C95">
              <w:rPr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A1AD1" w:rsidRPr="00A728CC" w:rsidRDefault="00CA1AD1" w:rsidP="00BE1C9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80 </w:t>
            </w:r>
            <w:r w:rsidR="00BE1C95">
              <w:rPr>
                <w:b/>
                <w:szCs w:val="28"/>
              </w:rPr>
              <w:t>630</w:t>
            </w:r>
          </w:p>
        </w:tc>
      </w:tr>
    </w:tbl>
    <w:p w:rsidR="00CA1AD1" w:rsidRDefault="00CA1AD1" w:rsidP="00CA1AD1">
      <w:pPr>
        <w:rPr>
          <w:b/>
          <w:sz w:val="22"/>
        </w:rPr>
      </w:pPr>
    </w:p>
    <w:p w:rsidR="00C94F60" w:rsidRPr="00A728CC" w:rsidRDefault="00C94F60" w:rsidP="00C94F60">
      <w:pPr>
        <w:rPr>
          <w:b/>
        </w:rPr>
      </w:pPr>
      <w:r>
        <w:rPr>
          <w:b/>
          <w:sz w:val="22"/>
        </w:rPr>
        <w:lastRenderedPageBreak/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C94F60" w:rsidRPr="00A728CC" w:rsidRDefault="00C94F60" w:rsidP="00C94F60">
      <w:pPr>
        <w:jc w:val="right"/>
      </w:pPr>
      <w:r w:rsidRPr="00A728CC">
        <w:t xml:space="preserve">к Решению Собрания представителей </w:t>
      </w:r>
    </w:p>
    <w:p w:rsidR="00C94F60" w:rsidRPr="00A728CC" w:rsidRDefault="00C94F60" w:rsidP="00C94F60">
      <w:pPr>
        <w:jc w:val="right"/>
      </w:pPr>
      <w:r w:rsidRPr="00A728CC">
        <w:t xml:space="preserve">Бесланского городского поселения </w:t>
      </w:r>
    </w:p>
    <w:p w:rsidR="00C94F60" w:rsidRPr="00A728CC" w:rsidRDefault="00C94F60" w:rsidP="00C94F60">
      <w:pPr>
        <w:jc w:val="right"/>
        <w:rPr>
          <w:b/>
          <w:szCs w:val="28"/>
        </w:rPr>
      </w:pPr>
      <w:r>
        <w:t xml:space="preserve">от  «__» </w:t>
      </w:r>
      <w:r w:rsidR="00777917">
        <w:t>__________ 2022</w:t>
      </w:r>
      <w:r w:rsidRPr="00A728CC">
        <w:t xml:space="preserve"> г. №____</w:t>
      </w:r>
    </w:p>
    <w:p w:rsidR="00C94F60" w:rsidRPr="001C5618" w:rsidRDefault="00C94F60" w:rsidP="00C94F60">
      <w:pPr>
        <w:rPr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C94F60" w:rsidRPr="001C5618" w:rsidTr="00387EBD">
        <w:trPr>
          <w:trHeight w:val="720"/>
        </w:trPr>
        <w:tc>
          <w:tcPr>
            <w:tcW w:w="9498" w:type="dxa"/>
            <w:gridSpan w:val="6"/>
            <w:vAlign w:val="center"/>
          </w:tcPr>
          <w:p w:rsidR="00042876" w:rsidRDefault="00042876" w:rsidP="000428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="00C94F60" w:rsidRPr="001C5618">
              <w:rPr>
                <w:b/>
                <w:lang w:eastAsia="ar-SA"/>
              </w:rPr>
              <w:t>Расходы бюджета Бесланского городского посе</w:t>
            </w:r>
            <w:r w:rsidR="00777917">
              <w:rPr>
                <w:b/>
                <w:lang w:eastAsia="ar-SA"/>
              </w:rPr>
              <w:t>ления на 2022</w:t>
            </w:r>
            <w:r w:rsidR="00C94F60" w:rsidRPr="001C5618">
              <w:rPr>
                <w:b/>
                <w:lang w:eastAsia="ar-SA"/>
              </w:rPr>
              <w:t xml:space="preserve"> г.</w:t>
            </w:r>
            <w:r w:rsidR="00C94F60">
              <w:rPr>
                <w:b/>
                <w:lang w:eastAsia="ar-SA"/>
              </w:rPr>
              <w:t xml:space="preserve"> </w:t>
            </w:r>
          </w:p>
          <w:p w:rsidR="00C94F60" w:rsidRPr="00E22FEA" w:rsidRDefault="00C94F60" w:rsidP="00E22F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C94F60" w:rsidRPr="001C5618" w:rsidRDefault="00C94F60" w:rsidP="00387EB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4F60" w:rsidRPr="001C5618" w:rsidTr="00387EBD">
        <w:trPr>
          <w:trHeight w:val="285"/>
        </w:trPr>
        <w:tc>
          <w:tcPr>
            <w:tcW w:w="4111" w:type="dxa"/>
            <w:gridSpan w:val="2"/>
            <w:vAlign w:val="center"/>
          </w:tcPr>
          <w:p w:rsidR="00C94F60" w:rsidRPr="004D6A5E" w:rsidRDefault="005E27DA" w:rsidP="00387EBD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30.06</w:t>
            </w:r>
            <w:r w:rsidR="00824821">
              <w:rPr>
                <w:color w:val="FF0000"/>
                <w:lang w:eastAsia="en-US"/>
              </w:rPr>
              <w:t>.2022 г</w:t>
            </w:r>
          </w:p>
        </w:tc>
        <w:tc>
          <w:tcPr>
            <w:tcW w:w="851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C94F60" w:rsidRPr="001C5618" w:rsidRDefault="00C94F60" w:rsidP="00387EB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C94F60" w:rsidRPr="001C5618" w:rsidRDefault="00C94F60" w:rsidP="00387EBD">
            <w:pPr>
              <w:rPr>
                <w:lang w:eastAsia="en-US"/>
              </w:rPr>
            </w:pPr>
          </w:p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тыс.руб.</w:t>
            </w:r>
          </w:p>
        </w:tc>
      </w:tr>
      <w:tr w:rsidR="00C94F60" w:rsidRPr="001C5618" w:rsidTr="00387EB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777917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="00C94F60"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9449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9449D3">
              <w:rPr>
                <w:b/>
                <w:bCs/>
                <w:lang w:eastAsia="en-US"/>
              </w:rPr>
              <w:t>1 130,3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9449D3" w:rsidP="005519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15 839,7</w:t>
            </w:r>
          </w:p>
        </w:tc>
      </w:tr>
      <w:tr w:rsidR="00C94F60" w:rsidRPr="001C5618" w:rsidTr="00387EB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 w:rsidR="00043662">
              <w:rPr>
                <w:b/>
                <w:bCs/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 w:rsidR="00043662">
              <w:rPr>
                <w:lang w:eastAsia="en-US"/>
              </w:rPr>
              <w:t>120</w:t>
            </w:r>
          </w:p>
        </w:tc>
      </w:tr>
      <w:tr w:rsidR="00C94F60" w:rsidRPr="001C5618" w:rsidTr="00387EB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0436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043662">
              <w:rPr>
                <w:b/>
                <w:bCs/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BB7AF1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3662">
              <w:rPr>
                <w:lang w:eastAsia="en-US"/>
              </w:rPr>
              <w:t>80</w:t>
            </w:r>
          </w:p>
        </w:tc>
      </w:tr>
      <w:tr w:rsidR="00C94F60" w:rsidRPr="001C5618" w:rsidTr="00387EB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12 245</w:t>
            </w:r>
          </w:p>
        </w:tc>
      </w:tr>
      <w:tr w:rsidR="00C94F60" w:rsidRPr="001C5618" w:rsidTr="00387EB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12 245</w:t>
            </w:r>
          </w:p>
        </w:tc>
      </w:tr>
      <w:tr w:rsidR="00C94F60" w:rsidRPr="001C5618" w:rsidTr="00387EB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C94F60" w:rsidRPr="001C5618" w:rsidTr="00387EB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11 320</w:t>
            </w:r>
          </w:p>
        </w:tc>
      </w:tr>
      <w:tr w:rsidR="00C94F60" w:rsidRPr="001C5618" w:rsidTr="00387EB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C94F60" w:rsidRPr="001C5618" w:rsidTr="00387EB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C94F60" w:rsidRPr="001C5618" w:rsidTr="00387EB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9 230</w:t>
            </w:r>
          </w:p>
        </w:tc>
      </w:tr>
      <w:tr w:rsidR="00C94F60" w:rsidRPr="001C5618" w:rsidTr="00387EB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C94F60" w:rsidRPr="001C5618" w:rsidTr="00387EB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C94F60" w:rsidRPr="001C5618" w:rsidTr="00387EB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04366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8120A1" w:rsidRDefault="00C94F60" w:rsidP="005F6895">
            <w:pPr>
              <w:jc w:val="center"/>
              <w:rPr>
                <w:b/>
                <w:lang w:eastAsia="en-US"/>
              </w:rPr>
            </w:pPr>
            <w:r w:rsidRPr="008120A1">
              <w:rPr>
                <w:b/>
                <w:lang w:eastAsia="en-US"/>
              </w:rPr>
              <w:t>-</w:t>
            </w:r>
            <w:r w:rsidR="00251235">
              <w:rPr>
                <w:b/>
                <w:lang w:eastAsia="en-US"/>
              </w:rPr>
              <w:t>1</w:t>
            </w:r>
            <w:r w:rsidR="005F6895">
              <w:rPr>
                <w:b/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5F6895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5F6895" w:rsidP="00387EBD">
            <w:pPr>
              <w:jc w:val="center"/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Default="005F6895" w:rsidP="00387EBD">
            <w:pPr>
              <w:jc w:val="center"/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F60" w:rsidRPr="00CD7E43" w:rsidRDefault="00C94F60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5F6895" w:rsidP="00387EBD">
            <w:pPr>
              <w:jc w:val="center"/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5E40A6" w:rsidP="005F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51235">
              <w:rPr>
                <w:lang w:eastAsia="en-US"/>
              </w:rPr>
              <w:t>1</w:t>
            </w:r>
            <w:r w:rsidR="005F6895">
              <w:rPr>
                <w:lang w:eastAsia="en-US"/>
              </w:rPr>
              <w:t> 130,3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5F6895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869,7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004D79" w:rsidRDefault="00EA11F2" w:rsidP="00387EBD">
            <w:pPr>
              <w:jc w:val="center"/>
              <w:rPr>
                <w:b/>
              </w:rPr>
            </w:pPr>
            <w:r>
              <w:rPr>
                <w:b/>
              </w:rPr>
              <w:t>+1 090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2 090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+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A11F2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F2" w:rsidRPr="002F0142" w:rsidRDefault="00EA11F2" w:rsidP="006070AD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F2" w:rsidRPr="002F0142" w:rsidRDefault="00EA11F2" w:rsidP="00EA11F2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F2" w:rsidRPr="002F0142" w:rsidRDefault="00EA11F2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E82E7D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EA11F2" w:rsidP="00387EBD">
            <w:pPr>
              <w:jc w:val="center"/>
            </w:pPr>
            <w: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AA2694" w:rsidP="00387EBD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r w:rsidR="00C94F60" w:rsidRPr="001C5618">
              <w:rPr>
                <w:b/>
                <w:bCs/>
                <w:lang w:eastAsia="en-US"/>
              </w:rPr>
              <w:t>Ж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A12B6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+2 957</w:t>
            </w:r>
            <w:r w:rsidR="00EA11F2">
              <w:rPr>
                <w:b/>
                <w:bCs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9A12B6" w:rsidP="00387EBD">
            <w:pPr>
              <w:jc w:val="center"/>
            </w:pPr>
            <w:r>
              <w:rPr>
                <w:b/>
                <w:lang w:eastAsia="en-US"/>
              </w:rPr>
              <w:t>62 657</w:t>
            </w:r>
            <w:r w:rsidR="00EA11F2">
              <w:rPr>
                <w:b/>
                <w:lang w:eastAsia="en-US"/>
              </w:rPr>
              <w:t>,3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A12B6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+2 957</w:t>
            </w:r>
            <w:r w:rsidR="00EA11F2">
              <w:rPr>
                <w:b/>
                <w:bCs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Default="009A12B6" w:rsidP="00387EBD">
            <w:pPr>
              <w:jc w:val="center"/>
            </w:pPr>
            <w:r>
              <w:rPr>
                <w:b/>
                <w:lang w:eastAsia="en-US"/>
              </w:rPr>
              <w:t>62 657</w:t>
            </w:r>
            <w:r w:rsidR="00EA11F2">
              <w:rPr>
                <w:b/>
                <w:lang w:eastAsia="en-US"/>
              </w:rPr>
              <w:t>,3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5F411E" w:rsidRDefault="00C94F60" w:rsidP="00387EBD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9A12B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+2 957</w:t>
            </w:r>
            <w:r w:rsidR="00EA11F2">
              <w:rPr>
                <w:b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9A12B6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62 657</w:t>
            </w:r>
            <w:r w:rsidR="00EA11F2">
              <w:rPr>
                <w:b/>
                <w:lang w:eastAsia="en-US"/>
              </w:rPr>
              <w:t>,3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5F411E" w:rsidRDefault="00AA2694" w:rsidP="00D32CB8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C94F60">
              <w:rPr>
                <w:b/>
                <w:lang w:eastAsia="en-US"/>
              </w:rPr>
              <w:t>Расходы на содержание М</w:t>
            </w:r>
            <w:r w:rsidR="00C94F60" w:rsidRPr="005F411E">
              <w:rPr>
                <w:b/>
                <w:lang w:eastAsia="en-US"/>
              </w:rPr>
              <w:t>БУ</w:t>
            </w:r>
            <w:r w:rsidR="00C94F60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087D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195611" w:rsidP="00D32C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16 2</w:t>
            </w:r>
            <w:r w:rsidR="00087D6A">
              <w:rPr>
                <w:b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5F411E" w:rsidRDefault="00C94F60" w:rsidP="00087D6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5F411E" w:rsidRDefault="00195611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</w:t>
            </w:r>
            <w:r w:rsidR="00087D6A">
              <w:rPr>
                <w:b/>
                <w:i/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Default="00C94F60" w:rsidP="00387EB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087D6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</w:t>
            </w:r>
            <w:r w:rsidR="00087D6A">
              <w:rPr>
                <w:lang w:eastAsia="en-US"/>
              </w:rPr>
              <w:t>00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087D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49 410</w:t>
            </w:r>
          </w:p>
        </w:tc>
      </w:tr>
      <w:tr w:rsidR="00C94F60" w:rsidRPr="001C5618" w:rsidTr="00387EB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C94F60" w:rsidP="00387EB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FA1D0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FA1D0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49 410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49 410</w:t>
            </w:r>
          </w:p>
        </w:tc>
      </w:tr>
      <w:tr w:rsidR="00C94F60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EA11F2" w:rsidP="00087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49 410</w:t>
            </w:r>
          </w:p>
        </w:tc>
      </w:tr>
      <w:tr w:rsidR="00C230B9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B9" w:rsidRPr="00195611" w:rsidRDefault="00C230B9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C230B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C230B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C230B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95611" w:rsidRDefault="009A12B6" w:rsidP="00C230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+47</w:t>
            </w:r>
            <w:r w:rsidR="00C230B9">
              <w:rPr>
                <w:b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9" w:rsidRPr="00195611" w:rsidRDefault="009A12B6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  <w:r w:rsidR="00C230B9">
              <w:rPr>
                <w:b/>
                <w:lang w:eastAsia="en-US"/>
              </w:rPr>
              <w:t>,3</w:t>
            </w:r>
          </w:p>
        </w:tc>
      </w:tr>
      <w:tr w:rsidR="00C230B9" w:rsidRPr="001C5618" w:rsidTr="00387EB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B9" w:rsidRPr="001C5618" w:rsidRDefault="00C230B9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C230B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C230B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C230B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9" w:rsidRPr="001C5618" w:rsidRDefault="009A12B6" w:rsidP="00C23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+47</w:t>
            </w:r>
            <w:r w:rsidR="00C230B9">
              <w:rPr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0B9" w:rsidRPr="001C5618" w:rsidRDefault="009A12B6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C230B9">
              <w:rPr>
                <w:lang w:eastAsia="en-US"/>
              </w:rPr>
              <w:t>,3</w:t>
            </w:r>
          </w:p>
        </w:tc>
      </w:tr>
      <w:tr w:rsidR="000E28E9" w:rsidRPr="001C5618" w:rsidTr="00E22FEA"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E28E9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0E28E9" w:rsidRPr="001C5618" w:rsidTr="00E22FEA">
        <w:trPr>
          <w:trHeight w:val="26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E28E9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95611" w:rsidRDefault="000E28E9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0E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C5618" w:rsidRDefault="000E28E9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0E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E28E9" w:rsidRPr="001C5618" w:rsidTr="00E22FEA">
        <w:trPr>
          <w:trHeight w:val="3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E28E9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0E28E9" w:rsidRDefault="000E28E9" w:rsidP="00087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95611" w:rsidRDefault="000E28E9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95611" w:rsidRDefault="000E28E9" w:rsidP="000E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95611" w:rsidRDefault="000E28E9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E28E9" w:rsidRPr="001C5618" w:rsidTr="006070A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9" w:rsidRPr="001C5618" w:rsidRDefault="000E28E9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E9" w:rsidRPr="001C5618" w:rsidRDefault="000E28E9" w:rsidP="000E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E9" w:rsidRPr="001C5618" w:rsidRDefault="000E28E9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C1CC4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81A04">
              <w:rPr>
                <w:b/>
                <w:bCs/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4C1CC4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81A04">
              <w:rPr>
                <w:b/>
                <w:bCs/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F81A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81A04">
              <w:rPr>
                <w:b/>
                <w:bCs/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F81A04" w:rsidP="00387E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F81A0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F81A04">
              <w:rPr>
                <w:b/>
                <w:i/>
                <w:lang w:eastAsia="en-US"/>
              </w:rPr>
              <w:t>38</w:t>
            </w:r>
          </w:p>
        </w:tc>
      </w:tr>
      <w:tr w:rsidR="00F81A04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4" w:rsidRPr="00195611" w:rsidRDefault="00F81A04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04" w:rsidRPr="00195611" w:rsidRDefault="00F81A04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F81A04" w:rsidRPr="001C5618" w:rsidTr="00387EB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04" w:rsidRPr="001C5618" w:rsidRDefault="00F81A04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04" w:rsidRPr="001C5618" w:rsidRDefault="00F81A04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94F60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14A2B" w:rsidRPr="001C5618" w:rsidTr="00A14A2B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A14A2B" w:rsidRDefault="00A14A2B" w:rsidP="00A14A2B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A14A2B" w:rsidRDefault="00A14A2B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A14A2B" w:rsidRDefault="00A14A2B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A14A2B" w:rsidRDefault="00A14A2B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14A2B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B" w:rsidRPr="001C5618" w:rsidRDefault="00A14A2B" w:rsidP="00A14A2B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1C5618" w:rsidRDefault="00A14A2B" w:rsidP="006070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A14A2B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B" w:rsidRPr="00195611" w:rsidRDefault="00A14A2B" w:rsidP="006070AD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A14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6070AD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95611" w:rsidRDefault="00A14A2B" w:rsidP="00A14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195611" w:rsidRDefault="00A14A2B" w:rsidP="006070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14A2B" w:rsidRPr="001C5618" w:rsidTr="00387EB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B" w:rsidRPr="001C5618" w:rsidRDefault="00A14A2B" w:rsidP="006070A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2B" w:rsidRPr="001C5618" w:rsidRDefault="00A14A2B" w:rsidP="00A14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2B" w:rsidRPr="001C5618" w:rsidRDefault="00A14A2B" w:rsidP="0060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4C1CC4" w:rsidP="00CE12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CE12F2">
              <w:rPr>
                <w:b/>
                <w:bCs/>
                <w:lang w:eastAsia="en-US"/>
              </w:rPr>
              <w:t>1 00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E12F2" w:rsidP="00E04E2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F60" w:rsidRPr="001C5618" w:rsidRDefault="00D32CB8" w:rsidP="00387EBD">
            <w:pPr>
              <w:jc w:val="center"/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C94F60" w:rsidRPr="001C5618" w:rsidTr="00387EB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19561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195611">
              <w:rPr>
                <w:b/>
                <w:bCs/>
                <w:lang w:eastAsia="en-US"/>
              </w:rPr>
              <w:t>1 00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</w:t>
            </w:r>
            <w:r w:rsidR="009A12B6">
              <w:rPr>
                <w:b/>
                <w:bCs/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1956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195611">
              <w:rPr>
                <w:lang w:eastAsia="en-US"/>
              </w:rPr>
              <w:t>1 00</w:t>
            </w:r>
            <w:r w:rsidR="009A12B6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195611" w:rsidP="005E4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</w:t>
            </w:r>
            <w:r w:rsidR="009A12B6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C94F60" w:rsidRPr="001C5618" w:rsidTr="00387EB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94F60">
              <w:rPr>
                <w:lang w:eastAsia="en-US"/>
              </w:rPr>
              <w:t>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C57DE5" w:rsidRDefault="00C94F60" w:rsidP="00387EBD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C94F60" w:rsidP="00387EBD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C57DE5" w:rsidRDefault="00911486" w:rsidP="002512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251235">
              <w:rPr>
                <w:b/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C57DE5" w:rsidRDefault="00251235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r w:rsidRPr="001C5618">
              <w:t>Иные выплаты населению (резервный фонд главы (пособия по соц.помощи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911486" w:rsidP="002512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251235">
              <w:rPr>
                <w:lang w:eastAsia="en-US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251235" w:rsidP="00911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C94F60" w:rsidRPr="001C5618" w:rsidTr="00387EB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D32CB8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387EB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60" w:rsidRPr="001C5618" w:rsidRDefault="00C94F60" w:rsidP="00387EB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C94F60" w:rsidP="00387E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C94F60" w:rsidRPr="001C5618" w:rsidTr="00B02BD2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C94F60" w:rsidP="00387E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60" w:rsidRPr="001C5618" w:rsidRDefault="007C3BBF" w:rsidP="00387E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60" w:rsidRPr="001C5618" w:rsidRDefault="007C3BBF" w:rsidP="00004D7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  <w:r w:rsidR="00D32CB8">
              <w:rPr>
                <w:b/>
                <w:bCs/>
                <w:lang w:eastAsia="en-US"/>
              </w:rPr>
              <w:t xml:space="preserve"> 600</w:t>
            </w:r>
          </w:p>
        </w:tc>
      </w:tr>
    </w:tbl>
    <w:p w:rsidR="00B02BD2" w:rsidRDefault="00B02BD2" w:rsidP="00C94F60">
      <w:pPr>
        <w:rPr>
          <w:b/>
          <w:sz w:val="22"/>
        </w:rPr>
      </w:pPr>
    </w:p>
    <w:p w:rsidR="00C94F60" w:rsidRDefault="00B02BD2" w:rsidP="00C94F60">
      <w:pPr>
        <w:rPr>
          <w:sz w:val="22"/>
        </w:rPr>
      </w:pPr>
      <w:r>
        <w:rPr>
          <w:b/>
          <w:sz w:val="22"/>
        </w:rPr>
        <w:t xml:space="preserve">   </w:t>
      </w:r>
      <w:r w:rsidR="00C94F60">
        <w:rPr>
          <w:sz w:val="22"/>
        </w:rPr>
        <w:t xml:space="preserve"> </w:t>
      </w:r>
      <w:r w:rsidR="00C94F60" w:rsidRPr="00ED016F">
        <w:rPr>
          <w:sz w:val="22"/>
        </w:rPr>
        <w:t>И</w:t>
      </w:r>
      <w:r w:rsidR="00C94F60">
        <w:rPr>
          <w:sz w:val="22"/>
        </w:rPr>
        <w:t>сполнитель</w:t>
      </w:r>
      <w:r w:rsidR="00C94F60" w:rsidRPr="00ED016F">
        <w:rPr>
          <w:sz w:val="22"/>
        </w:rPr>
        <w:t xml:space="preserve">: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C94F60" w:rsidRDefault="00C94F60" w:rsidP="00C94F60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C94F60" w:rsidRPr="00773FAB" w:rsidRDefault="00C94F60" w:rsidP="00C94F60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Фидарова З.К</w:t>
      </w:r>
      <w:r>
        <w:rPr>
          <w:sz w:val="22"/>
        </w:rPr>
        <w:t>.</w:t>
      </w:r>
    </w:p>
    <w:p w:rsidR="001D4A4E" w:rsidRDefault="001D4A4E" w:rsidP="00C94F60">
      <w:pPr>
        <w:rPr>
          <w:sz w:val="22"/>
        </w:rPr>
      </w:pPr>
    </w:p>
    <w:p w:rsidR="001D4A4E" w:rsidRDefault="001D4A4E" w:rsidP="00C94F60">
      <w:pPr>
        <w:rPr>
          <w:sz w:val="22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9A12B6" w:rsidRDefault="009A12B6" w:rsidP="00CF64E3">
      <w:pPr>
        <w:ind w:firstLine="708"/>
        <w:jc w:val="both"/>
        <w:rPr>
          <w:sz w:val="27"/>
          <w:szCs w:val="27"/>
        </w:rPr>
      </w:pPr>
    </w:p>
    <w:p w:rsidR="00CF64E3" w:rsidRDefault="00CF64E3" w:rsidP="00CF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уточнению</w:t>
      </w:r>
      <w:r>
        <w:rPr>
          <w:b/>
          <w:sz w:val="28"/>
          <w:szCs w:val="28"/>
          <w:lang w:eastAsia="ar-SA"/>
        </w:rPr>
        <w:t xml:space="preserve"> бюджета Бесланск</w:t>
      </w:r>
      <w:r w:rsidR="00076840">
        <w:rPr>
          <w:b/>
          <w:sz w:val="28"/>
          <w:szCs w:val="28"/>
          <w:lang w:eastAsia="ar-SA"/>
        </w:rPr>
        <w:t>ого городского поселения на 2022</w:t>
      </w:r>
      <w:r>
        <w:rPr>
          <w:b/>
          <w:sz w:val="28"/>
          <w:szCs w:val="28"/>
          <w:lang w:eastAsia="ar-SA"/>
        </w:rPr>
        <w:t xml:space="preserve"> год.</w:t>
      </w:r>
    </w:p>
    <w:p w:rsidR="00CF64E3" w:rsidRDefault="00CF64E3" w:rsidP="00114CED">
      <w:pPr>
        <w:jc w:val="both"/>
        <w:rPr>
          <w:sz w:val="27"/>
          <w:szCs w:val="27"/>
        </w:rPr>
      </w:pPr>
    </w:p>
    <w:p w:rsidR="00CF64E3" w:rsidRDefault="00CF64E3" w:rsidP="00CF64E3">
      <w:pPr>
        <w:ind w:firstLine="708"/>
        <w:jc w:val="both"/>
        <w:rPr>
          <w:sz w:val="27"/>
          <w:szCs w:val="27"/>
        </w:rPr>
      </w:pPr>
    </w:p>
    <w:p w:rsidR="00CF64E3" w:rsidRPr="00CF64E3" w:rsidRDefault="00CF64E3" w:rsidP="00CF64E3">
      <w:pPr>
        <w:ind w:firstLine="708"/>
        <w:jc w:val="both"/>
        <w:rPr>
          <w:sz w:val="28"/>
          <w:szCs w:val="28"/>
        </w:rPr>
      </w:pPr>
      <w:r w:rsidRPr="00CF64E3">
        <w:rPr>
          <w:sz w:val="28"/>
          <w:szCs w:val="28"/>
        </w:rPr>
        <w:t>Внесение изменений в решение Собрания представителей Бесланского городског</w:t>
      </w:r>
      <w:r w:rsidR="00F95CEF">
        <w:rPr>
          <w:sz w:val="28"/>
          <w:szCs w:val="28"/>
        </w:rPr>
        <w:t>о поселения от 29.11.2021 г. № 2</w:t>
      </w:r>
      <w:r w:rsidRPr="00CF64E3">
        <w:rPr>
          <w:sz w:val="28"/>
          <w:szCs w:val="28"/>
        </w:rPr>
        <w:t xml:space="preserve"> «О бюджете Бесланск</w:t>
      </w:r>
      <w:r w:rsidR="00076840">
        <w:rPr>
          <w:sz w:val="28"/>
          <w:szCs w:val="28"/>
        </w:rPr>
        <w:t>ого городского поселения на 2022</w:t>
      </w:r>
      <w:r w:rsidRPr="00CF64E3">
        <w:rPr>
          <w:sz w:val="28"/>
          <w:szCs w:val="28"/>
        </w:rPr>
        <w:t xml:space="preserve"> год» вызвано необходимостью </w:t>
      </w:r>
      <w:r w:rsidR="009A0295">
        <w:rPr>
          <w:sz w:val="28"/>
          <w:szCs w:val="28"/>
        </w:rPr>
        <w:t xml:space="preserve">уточнения и </w:t>
      </w:r>
      <w:r w:rsidR="00076840">
        <w:rPr>
          <w:sz w:val="28"/>
          <w:szCs w:val="28"/>
        </w:rPr>
        <w:t>пере</w:t>
      </w:r>
      <w:r w:rsidRPr="00CF64E3">
        <w:rPr>
          <w:sz w:val="28"/>
          <w:szCs w:val="28"/>
        </w:rPr>
        <w:t>распределения бюджетных ассигнований на основании</w:t>
      </w:r>
      <w:r w:rsidR="00087D6A">
        <w:rPr>
          <w:sz w:val="28"/>
          <w:szCs w:val="28"/>
        </w:rPr>
        <w:t xml:space="preserve"> </w:t>
      </w:r>
      <w:r w:rsidR="009A0295">
        <w:rPr>
          <w:sz w:val="28"/>
          <w:szCs w:val="28"/>
        </w:rPr>
        <w:t>справки-уведомления от 22.06.2022 г. №13, вх №706 от 23.06.2022 г.</w:t>
      </w:r>
      <w:r w:rsidR="00F95CEF">
        <w:rPr>
          <w:sz w:val="28"/>
          <w:szCs w:val="28"/>
        </w:rPr>
        <w:t xml:space="preserve">, </w:t>
      </w:r>
      <w:r w:rsidR="009A0295">
        <w:rPr>
          <w:sz w:val="28"/>
          <w:szCs w:val="28"/>
        </w:rPr>
        <w:t xml:space="preserve">в связи с поступлением </w:t>
      </w:r>
      <w:r w:rsidR="00F95CEF">
        <w:rPr>
          <w:sz w:val="28"/>
          <w:szCs w:val="28"/>
        </w:rPr>
        <w:t>обращений граждан г.Беслан об оказании материальной помощи</w:t>
      </w:r>
      <w:r w:rsidR="009A0295">
        <w:rPr>
          <w:sz w:val="28"/>
          <w:szCs w:val="28"/>
        </w:rPr>
        <w:t>, проведением культурных мероприятий, мероприятий по ликвидации последствий погодной стихии, произошедшей на территории г.Беслан 06.06.2022 г</w:t>
      </w:r>
      <w:r w:rsidR="00F95CEF">
        <w:rPr>
          <w:sz w:val="28"/>
          <w:szCs w:val="28"/>
        </w:rPr>
        <w:t>.</w:t>
      </w:r>
      <w:r w:rsidR="009A0295">
        <w:rPr>
          <w:sz w:val="28"/>
          <w:szCs w:val="28"/>
        </w:rPr>
        <w:t>,</w:t>
      </w:r>
      <w:r w:rsidR="009A0295" w:rsidRPr="009A0295">
        <w:rPr>
          <w:sz w:val="28"/>
          <w:szCs w:val="28"/>
          <w:lang w:eastAsia="ar-SA"/>
        </w:rPr>
        <w:t xml:space="preserve"> </w:t>
      </w:r>
      <w:r w:rsidR="009A0295">
        <w:rPr>
          <w:sz w:val="28"/>
          <w:szCs w:val="28"/>
          <w:lang w:eastAsia="ar-SA"/>
        </w:rPr>
        <w:t>а также в связи с расходами, не предусмотренными бюджетом Бесланского городского поселения на 2022 год</w:t>
      </w:r>
    </w:p>
    <w:p w:rsidR="00CF64E3" w:rsidRPr="00CF64E3" w:rsidRDefault="00CF64E3" w:rsidP="00CF64E3">
      <w:pPr>
        <w:ind w:firstLine="708"/>
        <w:jc w:val="both"/>
        <w:rPr>
          <w:b/>
          <w:sz w:val="28"/>
          <w:szCs w:val="28"/>
        </w:rPr>
      </w:pPr>
    </w:p>
    <w:p w:rsidR="00CF64E3" w:rsidRPr="00CF64E3" w:rsidRDefault="00CF64E3" w:rsidP="00CF64E3">
      <w:pPr>
        <w:ind w:firstLine="708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Доходы</w:t>
      </w:r>
    </w:p>
    <w:p w:rsidR="00CF64E3" w:rsidRDefault="00CF64E3" w:rsidP="00CF64E3">
      <w:pPr>
        <w:ind w:firstLine="709"/>
        <w:jc w:val="both"/>
        <w:rPr>
          <w:sz w:val="28"/>
          <w:szCs w:val="28"/>
        </w:rPr>
      </w:pPr>
    </w:p>
    <w:p w:rsidR="009A0295" w:rsidRPr="00CF64E3" w:rsidRDefault="009A0295" w:rsidP="009A0295">
      <w:pPr>
        <w:ind w:firstLine="709"/>
        <w:jc w:val="both"/>
        <w:rPr>
          <w:sz w:val="28"/>
          <w:szCs w:val="28"/>
        </w:rPr>
      </w:pPr>
      <w:r w:rsidRPr="00CF64E3">
        <w:rPr>
          <w:sz w:val="28"/>
          <w:szCs w:val="28"/>
        </w:rPr>
        <w:t xml:space="preserve">Всего доходы бюджета увеличатся на </w:t>
      </w:r>
      <w:r>
        <w:rPr>
          <w:sz w:val="28"/>
          <w:szCs w:val="28"/>
        </w:rPr>
        <w:t>30</w:t>
      </w:r>
      <w:r w:rsidRPr="00CF64E3">
        <w:rPr>
          <w:sz w:val="28"/>
          <w:szCs w:val="28"/>
        </w:rPr>
        <w:t xml:space="preserve"> тыс. руб. и составят в общей сумме </w:t>
      </w:r>
      <w:r>
        <w:rPr>
          <w:sz w:val="28"/>
          <w:szCs w:val="28"/>
        </w:rPr>
        <w:t>80 630</w:t>
      </w:r>
      <w:r w:rsidRPr="00CF64E3">
        <w:rPr>
          <w:sz w:val="28"/>
          <w:szCs w:val="28"/>
        </w:rPr>
        <w:t xml:space="preserve"> тыс. рублей.</w:t>
      </w:r>
    </w:p>
    <w:p w:rsidR="009A0295" w:rsidRPr="00CF64E3" w:rsidRDefault="009A0295" w:rsidP="009A0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4E3">
        <w:rPr>
          <w:sz w:val="28"/>
          <w:szCs w:val="28"/>
        </w:rPr>
        <w:t xml:space="preserve">Налоговые и неналоговые доходы не изменятся и составят </w:t>
      </w:r>
      <w:r>
        <w:rPr>
          <w:sz w:val="28"/>
          <w:szCs w:val="28"/>
        </w:rPr>
        <w:t>73 284,4 тыс. рублей.</w:t>
      </w:r>
    </w:p>
    <w:p w:rsidR="00116A50" w:rsidRDefault="009A0295" w:rsidP="009A0295">
      <w:pPr>
        <w:ind w:firstLine="709"/>
        <w:jc w:val="both"/>
        <w:rPr>
          <w:b/>
          <w:sz w:val="28"/>
          <w:szCs w:val="28"/>
        </w:rPr>
      </w:pPr>
      <w:r w:rsidRPr="00CF64E3">
        <w:rPr>
          <w:sz w:val="28"/>
          <w:szCs w:val="28"/>
        </w:rPr>
        <w:t xml:space="preserve"> Безвозмездные поступления из </w:t>
      </w:r>
      <w:r>
        <w:rPr>
          <w:sz w:val="28"/>
          <w:szCs w:val="28"/>
        </w:rPr>
        <w:t>районного</w:t>
      </w:r>
      <w:r w:rsidRPr="00CF64E3">
        <w:rPr>
          <w:sz w:val="28"/>
          <w:szCs w:val="28"/>
        </w:rPr>
        <w:t xml:space="preserve"> бюджета увеличатся на  </w:t>
      </w:r>
      <w:r>
        <w:rPr>
          <w:sz w:val="28"/>
          <w:szCs w:val="28"/>
        </w:rPr>
        <w:t>30</w:t>
      </w:r>
      <w:r w:rsidRPr="00CF64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согласно полученному уведомлению</w:t>
      </w:r>
      <w:r w:rsidRPr="00CF64E3">
        <w:rPr>
          <w:sz w:val="28"/>
          <w:szCs w:val="28"/>
        </w:rPr>
        <w:t xml:space="preserve"> и  составят </w:t>
      </w:r>
      <w:r>
        <w:rPr>
          <w:sz w:val="28"/>
          <w:szCs w:val="28"/>
        </w:rPr>
        <w:t>7 345,6</w:t>
      </w:r>
      <w:r w:rsidRPr="00CF64E3">
        <w:rPr>
          <w:sz w:val="28"/>
          <w:szCs w:val="28"/>
        </w:rPr>
        <w:t xml:space="preserve"> тыс. рублей. Увеличиваются только </w:t>
      </w:r>
      <w:r>
        <w:rPr>
          <w:sz w:val="28"/>
          <w:szCs w:val="28"/>
        </w:rPr>
        <w:t>м</w:t>
      </w:r>
      <w:r w:rsidRPr="00116A50">
        <w:rPr>
          <w:sz w:val="28"/>
          <w:szCs w:val="28"/>
        </w:rPr>
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 w:rsidRPr="00CF64E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30</w:t>
      </w:r>
      <w:r w:rsidRPr="00116A50">
        <w:rPr>
          <w:sz w:val="28"/>
          <w:szCs w:val="28"/>
        </w:rPr>
        <w:t xml:space="preserve"> </w:t>
      </w:r>
      <w:r w:rsidRPr="00CF64E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проведение работ по своевременному уничтожению дикорастущей конопли</w:t>
      </w:r>
    </w:p>
    <w:p w:rsidR="009A0295" w:rsidRDefault="009A0295" w:rsidP="00116A50">
      <w:pPr>
        <w:ind w:firstLine="709"/>
        <w:jc w:val="center"/>
        <w:rPr>
          <w:b/>
          <w:sz w:val="28"/>
          <w:szCs w:val="28"/>
        </w:rPr>
      </w:pPr>
    </w:p>
    <w:p w:rsidR="00CF64E3" w:rsidRPr="00CF64E3" w:rsidRDefault="00CF64E3" w:rsidP="00116A50">
      <w:pPr>
        <w:ind w:firstLine="709"/>
        <w:jc w:val="center"/>
        <w:rPr>
          <w:b/>
          <w:sz w:val="28"/>
          <w:szCs w:val="28"/>
        </w:rPr>
      </w:pPr>
      <w:r w:rsidRPr="00CF64E3">
        <w:rPr>
          <w:b/>
          <w:sz w:val="28"/>
          <w:szCs w:val="28"/>
        </w:rPr>
        <w:t>Расходы</w:t>
      </w:r>
    </w:p>
    <w:p w:rsidR="00116A50" w:rsidRDefault="00116A50" w:rsidP="00CF64E3">
      <w:pPr>
        <w:ind w:firstLine="709"/>
        <w:jc w:val="both"/>
        <w:rPr>
          <w:sz w:val="28"/>
          <w:szCs w:val="28"/>
        </w:rPr>
      </w:pPr>
    </w:p>
    <w:p w:rsidR="009A0295" w:rsidRDefault="009A0295" w:rsidP="009A029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С целью оперативного решения первоочередных задач по исполнению возложенных действующими законами полномочий, </w:t>
      </w:r>
      <w:r w:rsidR="00AF3A42">
        <w:rPr>
          <w:sz w:val="28"/>
          <w:szCs w:val="28"/>
          <w:lang w:eastAsia="ar-SA"/>
        </w:rPr>
        <w:t xml:space="preserve">так же проведением оплат по кредиторской задолженности за 2021 год за счет ассигнований 2022 года </w:t>
      </w:r>
      <w:r>
        <w:rPr>
          <w:sz w:val="28"/>
          <w:szCs w:val="28"/>
          <w:lang w:eastAsia="ar-SA"/>
        </w:rPr>
        <w:t xml:space="preserve">предлагается провести уточнения бюджетных ассигнований путем </w:t>
      </w:r>
      <w:r w:rsidR="00AF3A42">
        <w:rPr>
          <w:sz w:val="28"/>
          <w:szCs w:val="28"/>
          <w:lang w:eastAsia="ar-SA"/>
        </w:rPr>
        <w:t xml:space="preserve">их перераспределения, а так же путем </w:t>
      </w:r>
      <w:r>
        <w:rPr>
          <w:sz w:val="28"/>
          <w:szCs w:val="28"/>
          <w:lang w:eastAsia="ar-SA"/>
        </w:rPr>
        <w:t>перевода час</w:t>
      </w:r>
      <w:r w:rsidR="00AF3A42">
        <w:rPr>
          <w:sz w:val="28"/>
          <w:szCs w:val="28"/>
          <w:lang w:eastAsia="ar-SA"/>
        </w:rPr>
        <w:t>ти остатка средств на 01.01.2022</w:t>
      </w:r>
      <w:r>
        <w:rPr>
          <w:sz w:val="28"/>
          <w:szCs w:val="28"/>
          <w:lang w:eastAsia="ar-SA"/>
        </w:rPr>
        <w:t xml:space="preserve"> г. в размере </w:t>
      </w:r>
      <w:r w:rsidR="00AF3A42">
        <w:rPr>
          <w:sz w:val="28"/>
          <w:szCs w:val="28"/>
          <w:lang w:eastAsia="ar-SA"/>
        </w:rPr>
        <w:t>3 970</w:t>
      </w:r>
      <w:r>
        <w:rPr>
          <w:sz w:val="28"/>
          <w:szCs w:val="28"/>
          <w:lang w:eastAsia="ar-SA"/>
        </w:rPr>
        <w:t xml:space="preserve"> тыс.рублей. С учетом уточнений расходная часть бюджета составит </w:t>
      </w:r>
      <w:r w:rsidR="00AF3A42">
        <w:rPr>
          <w:sz w:val="28"/>
          <w:szCs w:val="28"/>
          <w:lang w:eastAsia="ar-SA"/>
        </w:rPr>
        <w:t>84 600</w:t>
      </w:r>
      <w:r>
        <w:rPr>
          <w:sz w:val="28"/>
          <w:szCs w:val="28"/>
          <w:lang w:eastAsia="ar-SA"/>
        </w:rPr>
        <w:t xml:space="preserve"> тыс.рублей.</w:t>
      </w:r>
    </w:p>
    <w:p w:rsidR="009A0295" w:rsidRDefault="009A0295" w:rsidP="009A029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9A0295" w:rsidRDefault="009A0295" w:rsidP="009A029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Направить вышеуказанные средства</w:t>
      </w:r>
      <w:r w:rsidR="00AF3A42">
        <w:rPr>
          <w:sz w:val="28"/>
          <w:szCs w:val="28"/>
          <w:lang w:eastAsia="ar-SA"/>
        </w:rPr>
        <w:t xml:space="preserve"> на расходы</w:t>
      </w:r>
      <w:r>
        <w:rPr>
          <w:sz w:val="28"/>
          <w:szCs w:val="28"/>
          <w:lang w:eastAsia="ar-SA"/>
        </w:rPr>
        <w:t>: по разделу 04 «Национальная экономика»</w:t>
      </w:r>
      <w:r w:rsidRPr="00B178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увеличить </w:t>
      </w:r>
      <w:r w:rsidR="00AF3A42">
        <w:rPr>
          <w:sz w:val="28"/>
          <w:szCs w:val="28"/>
          <w:lang w:eastAsia="ar-SA"/>
        </w:rPr>
        <w:t xml:space="preserve">ассигнования </w:t>
      </w:r>
      <w:r>
        <w:rPr>
          <w:sz w:val="28"/>
          <w:szCs w:val="28"/>
          <w:lang w:eastAsia="ar-SA"/>
        </w:rPr>
        <w:t xml:space="preserve">на </w:t>
      </w:r>
      <w:r w:rsidR="00AF3A42">
        <w:rPr>
          <w:sz w:val="28"/>
          <w:szCs w:val="28"/>
          <w:lang w:eastAsia="ar-SA"/>
        </w:rPr>
        <w:t>1 090</w:t>
      </w:r>
      <w:r>
        <w:rPr>
          <w:sz w:val="28"/>
          <w:szCs w:val="28"/>
          <w:lang w:eastAsia="ar-SA"/>
        </w:rPr>
        <w:t xml:space="preserve"> тыс.рублей, по разделу 05 «Жилищно-коммунальное хозяйство»</w:t>
      </w:r>
      <w:r w:rsidRPr="00B178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увеличить на </w:t>
      </w:r>
      <w:r w:rsidR="009A12B6">
        <w:rPr>
          <w:sz w:val="28"/>
          <w:szCs w:val="28"/>
          <w:lang w:eastAsia="ar-SA"/>
        </w:rPr>
        <w:t>2 957</w:t>
      </w:r>
      <w:r w:rsidR="00AF3A42">
        <w:rPr>
          <w:sz w:val="28"/>
          <w:szCs w:val="28"/>
          <w:lang w:eastAsia="ar-SA"/>
        </w:rPr>
        <w:t>,3</w:t>
      </w:r>
      <w:r>
        <w:rPr>
          <w:sz w:val="28"/>
          <w:szCs w:val="28"/>
          <w:lang w:eastAsia="ar-SA"/>
        </w:rPr>
        <w:t xml:space="preserve"> тыс.рублей, </w:t>
      </w:r>
      <w:r w:rsidR="00AF3A42">
        <w:rPr>
          <w:sz w:val="28"/>
          <w:szCs w:val="28"/>
          <w:lang w:eastAsia="ar-SA"/>
        </w:rPr>
        <w:t xml:space="preserve">по разделу 07 «Образование» на 35 тыс.рублей, </w:t>
      </w:r>
      <w:r>
        <w:rPr>
          <w:sz w:val="28"/>
          <w:szCs w:val="28"/>
          <w:lang w:eastAsia="ar-SA"/>
        </w:rPr>
        <w:t xml:space="preserve">по разделу 08 «Культура и кинематография» на </w:t>
      </w:r>
      <w:r w:rsidR="00AF3A42">
        <w:rPr>
          <w:sz w:val="28"/>
          <w:szCs w:val="28"/>
          <w:lang w:eastAsia="ar-SA"/>
        </w:rPr>
        <w:t>38</w:t>
      </w:r>
      <w:r>
        <w:rPr>
          <w:sz w:val="28"/>
          <w:szCs w:val="28"/>
          <w:lang w:eastAsia="ar-SA"/>
        </w:rPr>
        <w:t xml:space="preserve"> тыс.рублей, по разделу </w:t>
      </w:r>
      <w:r w:rsidR="00AF3A42">
        <w:rPr>
          <w:sz w:val="28"/>
          <w:szCs w:val="28"/>
          <w:lang w:eastAsia="ar-SA"/>
        </w:rPr>
        <w:t>09</w:t>
      </w:r>
      <w:r>
        <w:rPr>
          <w:sz w:val="28"/>
          <w:szCs w:val="28"/>
          <w:lang w:eastAsia="ar-SA"/>
        </w:rPr>
        <w:t xml:space="preserve"> «</w:t>
      </w:r>
      <w:r w:rsidR="00AF3A42">
        <w:rPr>
          <w:sz w:val="28"/>
          <w:szCs w:val="28"/>
          <w:lang w:eastAsia="ar-SA"/>
        </w:rPr>
        <w:t>Здравоохранение</w:t>
      </w:r>
      <w:r>
        <w:rPr>
          <w:sz w:val="28"/>
          <w:szCs w:val="28"/>
          <w:lang w:eastAsia="ar-SA"/>
        </w:rPr>
        <w:t xml:space="preserve">» на </w:t>
      </w:r>
      <w:r w:rsidR="00AF3A42">
        <w:rPr>
          <w:sz w:val="28"/>
          <w:szCs w:val="28"/>
          <w:lang w:eastAsia="ar-SA"/>
        </w:rPr>
        <w:t xml:space="preserve">10 тыс.рублей, </w:t>
      </w:r>
      <w:r>
        <w:rPr>
          <w:sz w:val="28"/>
          <w:szCs w:val="28"/>
          <w:lang w:eastAsia="ar-SA"/>
        </w:rPr>
        <w:t xml:space="preserve">по разделу 10 «Социальная политика» на </w:t>
      </w:r>
      <w:r w:rsidR="009A12B6">
        <w:rPr>
          <w:sz w:val="28"/>
          <w:szCs w:val="28"/>
          <w:lang w:eastAsia="ar-SA"/>
        </w:rPr>
        <w:t>1 000</w:t>
      </w:r>
      <w:r>
        <w:rPr>
          <w:sz w:val="28"/>
          <w:szCs w:val="28"/>
          <w:lang w:eastAsia="ar-SA"/>
        </w:rPr>
        <w:t xml:space="preserve"> тыс.рублей.</w:t>
      </w:r>
    </w:p>
    <w:p w:rsidR="009A0295" w:rsidRDefault="009A0295" w:rsidP="009A029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9A0295" w:rsidRDefault="009A0295" w:rsidP="009A029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Целью данных перераспределений является выполнение следующих обязательств: проведение максимально возможных работ по благоустройству города, оказание помощи гражданам г.Беслан, нуждающимся в лечении и оказавшимся в трудном материальном положении, по их письменным обращениям к главе АМС, финансовая помощь образовательным учреждениям согласно заявлений их руководителей.</w:t>
      </w:r>
    </w:p>
    <w:p w:rsidR="009A0295" w:rsidRDefault="009A0295" w:rsidP="009A0295">
      <w:pPr>
        <w:jc w:val="both"/>
        <w:rPr>
          <w:sz w:val="28"/>
          <w:szCs w:val="28"/>
          <w:lang w:eastAsia="ar-SA"/>
        </w:rPr>
      </w:pPr>
    </w:p>
    <w:p w:rsidR="009A0295" w:rsidRDefault="009A0295" w:rsidP="009A029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В результате доходы и расходы местного бюджета составят соответственно 80 </w:t>
      </w:r>
      <w:r w:rsidR="00AF3A42">
        <w:rPr>
          <w:sz w:val="28"/>
          <w:szCs w:val="28"/>
          <w:lang w:eastAsia="ar-SA"/>
        </w:rPr>
        <w:t>630</w:t>
      </w:r>
      <w:r>
        <w:rPr>
          <w:sz w:val="28"/>
          <w:szCs w:val="28"/>
          <w:lang w:eastAsia="ar-SA"/>
        </w:rPr>
        <w:t xml:space="preserve"> тыс.рублей и </w:t>
      </w:r>
      <w:r w:rsidR="00AF3A42">
        <w:rPr>
          <w:sz w:val="28"/>
          <w:szCs w:val="28"/>
          <w:lang w:eastAsia="ar-SA"/>
        </w:rPr>
        <w:t>84 600</w:t>
      </w:r>
      <w:r>
        <w:rPr>
          <w:sz w:val="28"/>
          <w:szCs w:val="28"/>
          <w:lang w:eastAsia="ar-SA"/>
        </w:rPr>
        <w:t xml:space="preserve"> тыс.рублей. Остаток средств на расче</w:t>
      </w:r>
      <w:r w:rsidR="00AF3A42">
        <w:rPr>
          <w:sz w:val="28"/>
          <w:szCs w:val="28"/>
          <w:lang w:eastAsia="ar-SA"/>
        </w:rPr>
        <w:t>тном счете по состоянию на 01.01</w:t>
      </w:r>
      <w:r>
        <w:rPr>
          <w:sz w:val="28"/>
          <w:szCs w:val="28"/>
          <w:lang w:eastAsia="ar-SA"/>
        </w:rPr>
        <w:t>.</w:t>
      </w:r>
      <w:r w:rsidR="00AF3A42">
        <w:rPr>
          <w:sz w:val="28"/>
          <w:szCs w:val="28"/>
          <w:lang w:eastAsia="ar-SA"/>
        </w:rPr>
        <w:t>2022</w:t>
      </w:r>
      <w:r>
        <w:rPr>
          <w:sz w:val="28"/>
          <w:szCs w:val="28"/>
          <w:lang w:eastAsia="ar-SA"/>
        </w:rPr>
        <w:t xml:space="preserve"> года будет направлен на погашение дефицита бюджета. Кредиторская задолженность на </w:t>
      </w:r>
      <w:r w:rsidR="00AF3A42">
        <w:rPr>
          <w:sz w:val="28"/>
          <w:szCs w:val="28"/>
          <w:lang w:eastAsia="ar-SA"/>
        </w:rPr>
        <w:t>30.07.2022</w:t>
      </w:r>
      <w:r>
        <w:rPr>
          <w:sz w:val="28"/>
          <w:szCs w:val="28"/>
          <w:lang w:eastAsia="ar-SA"/>
        </w:rPr>
        <w:t xml:space="preserve"> года </w:t>
      </w:r>
      <w:r w:rsidR="00C80B48">
        <w:rPr>
          <w:sz w:val="28"/>
          <w:szCs w:val="28"/>
          <w:lang w:eastAsia="ar-SA"/>
        </w:rPr>
        <w:t>14 542 тыс.рублей</w:t>
      </w:r>
      <w:r>
        <w:rPr>
          <w:sz w:val="28"/>
          <w:szCs w:val="28"/>
          <w:lang w:eastAsia="ar-SA"/>
        </w:rPr>
        <w:t xml:space="preserve">. </w:t>
      </w:r>
    </w:p>
    <w:p w:rsidR="009A0295" w:rsidRDefault="009A0295" w:rsidP="009A0295">
      <w:pPr>
        <w:jc w:val="both"/>
        <w:rPr>
          <w:sz w:val="28"/>
          <w:szCs w:val="28"/>
        </w:rPr>
      </w:pPr>
    </w:p>
    <w:p w:rsidR="0088680F" w:rsidRDefault="0088680F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9C14E8" w:rsidRPr="00A728CC" w:rsidRDefault="009C14E8" w:rsidP="009C14E8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9C14E8" w:rsidRPr="00A728CC" w:rsidRDefault="009C14E8" w:rsidP="009C14E8">
      <w:pPr>
        <w:jc w:val="right"/>
      </w:pPr>
      <w:r w:rsidRPr="00A728CC">
        <w:t xml:space="preserve">к Решению Собрания представителей </w:t>
      </w:r>
    </w:p>
    <w:p w:rsidR="009C14E8" w:rsidRPr="00A728CC" w:rsidRDefault="009C14E8" w:rsidP="009C14E8">
      <w:pPr>
        <w:jc w:val="right"/>
      </w:pPr>
      <w:r w:rsidRPr="00A728CC">
        <w:t xml:space="preserve">Бесланского городского поселения </w:t>
      </w:r>
    </w:p>
    <w:p w:rsidR="009C14E8" w:rsidRPr="00A728CC" w:rsidRDefault="009C14E8" w:rsidP="009C14E8">
      <w:pPr>
        <w:jc w:val="right"/>
        <w:rPr>
          <w:b/>
          <w:szCs w:val="28"/>
        </w:rPr>
      </w:pPr>
      <w:r>
        <w:t>от  «__» __________ 2022</w:t>
      </w:r>
      <w:r w:rsidRPr="00A728CC">
        <w:t xml:space="preserve"> г. №____</w:t>
      </w:r>
    </w:p>
    <w:p w:rsidR="009C14E8" w:rsidRPr="001C5618" w:rsidRDefault="009C14E8" w:rsidP="009C14E8">
      <w:pPr>
        <w:rPr>
          <w:b/>
        </w:rPr>
      </w:pPr>
    </w:p>
    <w:p w:rsidR="009C14E8" w:rsidRDefault="009C14E8" w:rsidP="009C14E8">
      <w:pPr>
        <w:ind w:right="283"/>
        <w:contextualSpacing/>
        <w:rPr>
          <w:b/>
          <w:sz w:val="18"/>
          <w:szCs w:val="28"/>
        </w:rPr>
      </w:pPr>
    </w:p>
    <w:p w:rsidR="009C14E8" w:rsidRDefault="009C14E8" w:rsidP="009C14E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14E8" w:rsidRDefault="009C14E8" w:rsidP="009C14E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кодов классификации доходов  главного  администратора доходов бюджета Бесланского городского поселения Правобережного района РСО-Алания</w:t>
      </w:r>
    </w:p>
    <w:p w:rsidR="009C14E8" w:rsidRDefault="009C14E8" w:rsidP="009C14E8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учетом изменений и дополнений)</w:t>
      </w:r>
    </w:p>
    <w:p w:rsidR="009C14E8" w:rsidRDefault="009C14E8" w:rsidP="009C14E8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9C14E8" w:rsidTr="006070AD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9C14E8" w:rsidTr="006070AD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rPr>
                <w:b/>
                <w:szCs w:val="28"/>
              </w:rPr>
            </w:pPr>
          </w:p>
        </w:tc>
      </w:tr>
      <w:tr w:rsidR="009C14E8" w:rsidTr="006070AD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9C14E8" w:rsidTr="006070AD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C14E8" w:rsidTr="006070AD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4E8" w:rsidTr="006070AD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4E8" w:rsidTr="006070AD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14E8" w:rsidTr="006070AD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4E8" w:rsidTr="006070AD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C14E8" w:rsidTr="006070AD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C14E8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5EAE" w:rsidTr="006070AD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AE" w:rsidRDefault="00F05EAE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AE" w:rsidRPr="00F05EAE" w:rsidRDefault="00F05EAE" w:rsidP="006070AD">
            <w:pPr>
              <w:ind w:right="283"/>
              <w:rPr>
                <w:b/>
                <w:szCs w:val="28"/>
              </w:rPr>
            </w:pPr>
            <w:r w:rsidRPr="00F05EAE">
              <w:rPr>
                <w:b/>
                <w:sz w:val="28"/>
                <w:szCs w:val="28"/>
              </w:rPr>
              <w:t>2 08 10000 13 0000 150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E" w:rsidRPr="006070AD" w:rsidRDefault="006070AD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 w:rsidRPr="006070AD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9C14E8" w:rsidTr="006070AD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C14E8" w:rsidTr="006070AD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8" w:rsidRDefault="009C14E8" w:rsidP="006070AD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6070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C14E8" w:rsidRDefault="009C14E8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p w:rsidR="006070AD" w:rsidRDefault="006070AD" w:rsidP="006070AD">
      <w:pPr>
        <w:ind w:right="283"/>
        <w:contextualSpacing/>
        <w:jc w:val="center"/>
        <w:rPr>
          <w:sz w:val="28"/>
          <w:szCs w:val="28"/>
        </w:rPr>
      </w:pPr>
    </w:p>
    <w:p w:rsidR="006070AD" w:rsidRDefault="006070AD" w:rsidP="006070AD">
      <w:pPr>
        <w:ind w:right="283"/>
        <w:contextualSpacing/>
        <w:jc w:val="center"/>
        <w:rPr>
          <w:sz w:val="28"/>
          <w:szCs w:val="28"/>
        </w:rPr>
      </w:pPr>
    </w:p>
    <w:p w:rsidR="006070AD" w:rsidRPr="006070AD" w:rsidRDefault="006070AD" w:rsidP="006070AD">
      <w:pPr>
        <w:ind w:right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Пояснения по Переченю</w:t>
      </w:r>
    </w:p>
    <w:p w:rsidR="006070AD" w:rsidRDefault="006070AD" w:rsidP="006070AD">
      <w:pPr>
        <w:ind w:right="283"/>
        <w:contextualSpacing/>
        <w:jc w:val="center"/>
        <w:rPr>
          <w:sz w:val="28"/>
          <w:szCs w:val="28"/>
        </w:rPr>
      </w:pPr>
      <w:r w:rsidRPr="006070AD">
        <w:rPr>
          <w:sz w:val="28"/>
          <w:szCs w:val="28"/>
        </w:rPr>
        <w:t>кодов классификации доходов  главного  администратора доходов бюджета Бесланского городского поселения Правобережного района РСО-Алания</w:t>
      </w:r>
    </w:p>
    <w:p w:rsidR="006070AD" w:rsidRDefault="006070AD" w:rsidP="006070AD">
      <w:pPr>
        <w:ind w:right="283"/>
        <w:contextualSpacing/>
        <w:jc w:val="center"/>
        <w:rPr>
          <w:sz w:val="28"/>
          <w:szCs w:val="28"/>
        </w:rPr>
      </w:pPr>
    </w:p>
    <w:p w:rsidR="00E9050E" w:rsidRDefault="00E9050E" w:rsidP="00E9050E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0AD">
        <w:rPr>
          <w:sz w:val="28"/>
          <w:szCs w:val="28"/>
        </w:rPr>
        <w:t>На основании письма Управления Федерального казначейства по РСО-Алания от 27.06.2022 г. № 10-02-27/2806</w:t>
      </w:r>
      <w:r>
        <w:rPr>
          <w:sz w:val="28"/>
          <w:szCs w:val="28"/>
        </w:rPr>
        <w:t xml:space="preserve"> необходимо внести изменения в перечень </w:t>
      </w:r>
      <w:r w:rsidRPr="006070AD">
        <w:rPr>
          <w:sz w:val="28"/>
          <w:szCs w:val="28"/>
        </w:rPr>
        <w:t>кодов классификации доходов  главного  администратора доходов бюджета Бесланского городского поселения Правобережного района РСО-Алания</w:t>
      </w:r>
      <w:r>
        <w:rPr>
          <w:sz w:val="28"/>
          <w:szCs w:val="28"/>
        </w:rPr>
        <w:t xml:space="preserve">, а именно дополнить следующим КБК 345 </w:t>
      </w:r>
      <w:r w:rsidRPr="00E9050E">
        <w:rPr>
          <w:sz w:val="28"/>
          <w:szCs w:val="28"/>
        </w:rPr>
        <w:t>2 08 10000 13 0000 150</w:t>
      </w:r>
      <w:r>
        <w:rPr>
          <w:sz w:val="28"/>
          <w:szCs w:val="28"/>
        </w:rPr>
        <w:t xml:space="preserve"> «</w:t>
      </w:r>
      <w:r w:rsidRPr="006070AD">
        <w:rPr>
          <w:sz w:val="28"/>
          <w:szCs w:val="28"/>
        </w:rPr>
        <w:t>Перечисления из бюджетов городских поселений (в бюджеты городских поселений) для осуществления взыскания</w:t>
      </w:r>
      <w:r>
        <w:rPr>
          <w:sz w:val="28"/>
          <w:szCs w:val="28"/>
        </w:rPr>
        <w:t>». Вышеуказанные изменения проводятся в целях необходимости включения данного кода в Реестр администрируемых доходов до 01.07.2022 года для реализации эксперимента по особому порядку уплаты налогов, сборов, страховых взносов посредством перечисления в бюджетную систему Российской Федерации единого налогового платежа.</w:t>
      </w:r>
    </w:p>
    <w:p w:rsidR="006070AD" w:rsidRDefault="006070AD" w:rsidP="006070AD">
      <w:pPr>
        <w:ind w:right="283"/>
        <w:contextualSpacing/>
        <w:rPr>
          <w:sz w:val="28"/>
          <w:szCs w:val="28"/>
        </w:rPr>
      </w:pPr>
    </w:p>
    <w:p w:rsidR="006070AD" w:rsidRDefault="006070AD" w:rsidP="006070AD">
      <w:pPr>
        <w:ind w:right="283"/>
        <w:contextualSpacing/>
        <w:jc w:val="center"/>
        <w:rPr>
          <w:sz w:val="28"/>
          <w:szCs w:val="28"/>
        </w:rPr>
      </w:pPr>
    </w:p>
    <w:p w:rsidR="006070AD" w:rsidRPr="006070AD" w:rsidRDefault="006070AD" w:rsidP="006070AD">
      <w:pPr>
        <w:ind w:right="283"/>
        <w:contextualSpacing/>
        <w:jc w:val="center"/>
        <w:rPr>
          <w:sz w:val="28"/>
          <w:szCs w:val="28"/>
        </w:rPr>
      </w:pPr>
    </w:p>
    <w:p w:rsidR="006070AD" w:rsidRDefault="006070AD" w:rsidP="009A0295">
      <w:pPr>
        <w:ind w:firstLine="709"/>
        <w:jc w:val="both"/>
        <w:rPr>
          <w:sz w:val="28"/>
          <w:szCs w:val="28"/>
        </w:rPr>
      </w:pPr>
    </w:p>
    <w:sectPr w:rsidR="006070AD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A101C"/>
    <w:rsid w:val="000A2105"/>
    <w:rsid w:val="000A527F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40F4"/>
    <w:rsid w:val="00131180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A0104"/>
    <w:rsid w:val="005A2211"/>
    <w:rsid w:val="005A44E7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70AD"/>
    <w:rsid w:val="006132DC"/>
    <w:rsid w:val="00625731"/>
    <w:rsid w:val="00627734"/>
    <w:rsid w:val="00640534"/>
    <w:rsid w:val="006527FA"/>
    <w:rsid w:val="00654111"/>
    <w:rsid w:val="00655E5A"/>
    <w:rsid w:val="00670311"/>
    <w:rsid w:val="0068049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04F0"/>
    <w:rsid w:val="006E3B13"/>
    <w:rsid w:val="006F217A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D18DC"/>
    <w:rsid w:val="008D22B7"/>
    <w:rsid w:val="008D5C89"/>
    <w:rsid w:val="008D69A8"/>
    <w:rsid w:val="008F28AB"/>
    <w:rsid w:val="008F3410"/>
    <w:rsid w:val="008F666D"/>
    <w:rsid w:val="008F73D7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76F39"/>
    <w:rsid w:val="00977DBD"/>
    <w:rsid w:val="00980F35"/>
    <w:rsid w:val="00981315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6969"/>
    <w:rsid w:val="009E2119"/>
    <w:rsid w:val="009E21F7"/>
    <w:rsid w:val="009E63C0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2694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92BF0"/>
    <w:rsid w:val="00C94F60"/>
    <w:rsid w:val="00C95C89"/>
    <w:rsid w:val="00CA1AD1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16A68"/>
    <w:rsid w:val="00D213DB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6EDB"/>
    <w:rsid w:val="00ED016F"/>
    <w:rsid w:val="00ED0F16"/>
    <w:rsid w:val="00EE24CD"/>
    <w:rsid w:val="00EF22D2"/>
    <w:rsid w:val="00F01C42"/>
    <w:rsid w:val="00F05EAE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F912-8BAF-4A2F-AD21-378239AA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2</cp:revision>
  <cp:lastPrinted>2022-03-03T12:51:00Z</cp:lastPrinted>
  <dcterms:created xsi:type="dcterms:W3CDTF">2022-06-29T06:55:00Z</dcterms:created>
  <dcterms:modified xsi:type="dcterms:W3CDTF">2022-06-29T06:55:00Z</dcterms:modified>
</cp:coreProperties>
</file>