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6A" w:rsidRDefault="00E9376A" w:rsidP="00005F68">
      <w:pPr>
        <w:contextualSpacing/>
        <w:rPr>
          <w:rFonts w:eastAsia="Calibri"/>
          <w:b/>
          <w:bCs/>
        </w:rPr>
      </w:pPr>
      <w:bookmarkStart w:id="0" w:name="_GoBack"/>
      <w:bookmarkEnd w:id="0"/>
      <w:r w:rsidRPr="0087779F"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B736721" wp14:editId="35480B98">
            <wp:simplePos x="0" y="0"/>
            <wp:positionH relativeFrom="column">
              <wp:posOffset>2376724</wp:posOffset>
            </wp:positionH>
            <wp:positionV relativeFrom="paragraph">
              <wp:posOffset>-576580</wp:posOffset>
            </wp:positionV>
            <wp:extent cx="981075" cy="1228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76A" w:rsidRDefault="00E9376A" w:rsidP="00005F68">
      <w:pPr>
        <w:contextualSpacing/>
        <w:rPr>
          <w:rFonts w:eastAsia="Calibri"/>
          <w:b/>
          <w:bCs/>
        </w:rPr>
      </w:pPr>
    </w:p>
    <w:p w:rsidR="00E9376A" w:rsidRDefault="00E9376A" w:rsidP="00005F68">
      <w:pPr>
        <w:contextualSpacing/>
        <w:rPr>
          <w:rFonts w:eastAsia="Calibri"/>
          <w:b/>
          <w:bCs/>
        </w:rPr>
      </w:pPr>
    </w:p>
    <w:p w:rsidR="00E9376A" w:rsidRDefault="00E9376A" w:rsidP="00E9376A">
      <w:pPr>
        <w:contextualSpacing/>
        <w:rPr>
          <w:rFonts w:eastAsia="Calibri"/>
          <w:b/>
          <w:bCs/>
          <w:sz w:val="32"/>
          <w:szCs w:val="32"/>
        </w:rPr>
      </w:pP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</w:rPr>
      </w:pPr>
      <w:r w:rsidRPr="0087779F">
        <w:rPr>
          <w:rFonts w:eastAsia="Calibri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87779F">
        <w:rPr>
          <w:rFonts w:eastAsia="Calibri"/>
          <w:b/>
          <w:bCs/>
          <w:sz w:val="32"/>
          <w:szCs w:val="32"/>
        </w:rPr>
        <w:t>Алания</w:t>
      </w:r>
      <w:r w:rsidRPr="0087779F">
        <w:rPr>
          <w:rFonts w:eastAsia="Calibri"/>
          <w:bCs/>
          <w:color w:val="FFFFFF"/>
        </w:rPr>
        <w:t>роект</w:t>
      </w:r>
      <w:proofErr w:type="spellEnd"/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Правобережный район</w:t>
      </w: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 w:val="32"/>
          <w:szCs w:val="32"/>
        </w:rPr>
      </w:pPr>
      <w:proofErr w:type="spellStart"/>
      <w:r w:rsidRPr="0087779F">
        <w:rPr>
          <w:rFonts w:eastAsia="Calibri"/>
          <w:b/>
          <w:bCs/>
          <w:sz w:val="32"/>
          <w:szCs w:val="32"/>
        </w:rPr>
        <w:t>Бесланское</w:t>
      </w:r>
      <w:proofErr w:type="spellEnd"/>
      <w:r w:rsidRPr="0087779F">
        <w:rPr>
          <w:rFonts w:eastAsia="Calibri"/>
          <w:b/>
          <w:bCs/>
          <w:sz w:val="32"/>
          <w:szCs w:val="32"/>
        </w:rPr>
        <w:t xml:space="preserve"> городское поселение</w:t>
      </w: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Cs w:val="32"/>
        </w:rPr>
      </w:pP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E9376A" w:rsidRPr="0087779F" w:rsidRDefault="00E9376A" w:rsidP="00E9376A">
      <w:pPr>
        <w:contextualSpacing/>
        <w:rPr>
          <w:rFonts w:eastAsia="Calibri"/>
          <w:b/>
          <w:bCs/>
          <w:sz w:val="16"/>
          <w:szCs w:val="16"/>
        </w:rPr>
      </w:pPr>
      <w:r w:rsidRPr="0087779F">
        <w:rPr>
          <w:rFonts w:eastAsia="Calibri"/>
          <w:b/>
          <w:bCs/>
          <w:sz w:val="32"/>
          <w:szCs w:val="32"/>
        </w:rPr>
        <w:tab/>
      </w:r>
    </w:p>
    <w:p w:rsidR="00E9376A" w:rsidRPr="003821E7" w:rsidRDefault="00B8022B" w:rsidP="00E9376A">
      <w:pPr>
        <w:contextualSpacing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>Решение № 2</w:t>
      </w:r>
    </w:p>
    <w:p w:rsidR="00E9376A" w:rsidRDefault="00B8022B" w:rsidP="00E9376A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 октября </w:t>
      </w:r>
      <w:r w:rsidR="00986864">
        <w:rPr>
          <w:b/>
          <w:sz w:val="28"/>
          <w:szCs w:val="28"/>
        </w:rPr>
        <w:t>2021</w:t>
      </w:r>
      <w:r w:rsidR="00E9376A">
        <w:rPr>
          <w:b/>
          <w:sz w:val="28"/>
          <w:szCs w:val="28"/>
        </w:rPr>
        <w:t xml:space="preserve"> г.                                               </w:t>
      </w:r>
      <w:r w:rsidR="00E9376A">
        <w:rPr>
          <w:b/>
          <w:sz w:val="28"/>
          <w:szCs w:val="28"/>
        </w:rPr>
        <w:tab/>
        <w:t xml:space="preserve">                         г. Беслан</w:t>
      </w:r>
    </w:p>
    <w:p w:rsidR="00E9376A" w:rsidRDefault="00E9376A" w:rsidP="00E9376A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p w:rsidR="00E9376A" w:rsidRPr="0087779F" w:rsidRDefault="00E9376A" w:rsidP="00E9376A">
      <w:pPr>
        <w:contextualSpacing/>
        <w:jc w:val="both"/>
        <w:rPr>
          <w:rFonts w:eastAsia="Calibri"/>
          <w:bCs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E9376A" w:rsidRPr="0087779F" w:rsidTr="00AC07F3">
        <w:tc>
          <w:tcPr>
            <w:tcW w:w="4077" w:type="dxa"/>
          </w:tcPr>
          <w:p w:rsidR="00E9376A" w:rsidRPr="0087779F" w:rsidRDefault="00E9376A" w:rsidP="00AC07F3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87779F">
              <w:rPr>
                <w:rFonts w:eastAsia="Calibri"/>
                <w:b/>
                <w:bCs/>
              </w:rPr>
              <w:t>«О проекте бюджета Бесланс</w:t>
            </w:r>
            <w:r>
              <w:rPr>
                <w:rFonts w:eastAsia="Calibri"/>
                <w:b/>
                <w:bCs/>
              </w:rPr>
              <w:t>к</w:t>
            </w:r>
            <w:r w:rsidR="00986864">
              <w:rPr>
                <w:rFonts w:eastAsia="Calibri"/>
                <w:b/>
                <w:bCs/>
              </w:rPr>
              <w:t>ого городского поселения на 2022</w:t>
            </w:r>
            <w:r w:rsidRPr="0087779F">
              <w:rPr>
                <w:rFonts w:eastAsia="Calibri"/>
                <w:b/>
                <w:bCs/>
              </w:rPr>
              <w:t xml:space="preserve"> год»</w:t>
            </w:r>
          </w:p>
        </w:tc>
        <w:tc>
          <w:tcPr>
            <w:tcW w:w="5391" w:type="dxa"/>
          </w:tcPr>
          <w:p w:rsidR="00E9376A" w:rsidRPr="0087779F" w:rsidRDefault="00E9376A" w:rsidP="00AC07F3">
            <w:pPr>
              <w:contextualSpacing/>
              <w:rPr>
                <w:rFonts w:eastAsia="Calibri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E9376A" w:rsidRPr="0087779F" w:rsidRDefault="00E9376A" w:rsidP="00E9376A">
      <w:pPr>
        <w:contextualSpacing/>
        <w:jc w:val="both"/>
        <w:rPr>
          <w:rFonts w:eastAsia="Calibri"/>
          <w:bCs/>
          <w:sz w:val="28"/>
          <w:szCs w:val="26"/>
        </w:rPr>
      </w:pPr>
    </w:p>
    <w:p w:rsidR="00E9376A" w:rsidRDefault="00E9376A" w:rsidP="00E9376A">
      <w:pPr>
        <w:ind w:firstLine="851"/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На основании ст. 169  Бюджетного кодекса Российской Федерации, п. 1 ч. 1 ст. 14, п. 2 ч. 3 ст. 28 Федерального закона от 06.10.2003 </w:t>
      </w:r>
      <w:r w:rsidRPr="0087779F">
        <w:rPr>
          <w:rFonts w:eastAsia="Calibri"/>
          <w:bCs/>
          <w:lang w:val="en-US"/>
        </w:rPr>
        <w:t>N</w:t>
      </w:r>
      <w:r w:rsidRPr="0087779F">
        <w:rPr>
          <w:rFonts w:eastAsia="Calibri"/>
          <w:bCs/>
        </w:rPr>
        <w:t xml:space="preserve">131- ФЗ «Об общих принципах организации местного самоуправления в Российской Федерации», Устава Бесланского городского поселения Правобережного района Республики Северная Осетия-Алания и Положения </w:t>
      </w:r>
      <w:r w:rsidRPr="0087779F">
        <w:rPr>
          <w:rFonts w:eastAsia="Calibri"/>
          <w:b/>
          <w:bCs/>
        </w:rPr>
        <w:t>«</w:t>
      </w:r>
      <w:r w:rsidRPr="0087779F">
        <w:rPr>
          <w:rFonts w:eastAsia="Calibri"/>
          <w:bCs/>
        </w:rPr>
        <w:t>О порядке организации и проведении публичных слушаний», утвержденного решением Собрания представителей Бесланского городско</w:t>
      </w:r>
      <w:r>
        <w:rPr>
          <w:rFonts w:eastAsia="Calibri"/>
          <w:bCs/>
        </w:rPr>
        <w:t>го поселения от 22.05.2009 г. N</w:t>
      </w:r>
      <w:r w:rsidRPr="0087779F">
        <w:rPr>
          <w:rFonts w:eastAsia="Calibri"/>
          <w:bCs/>
        </w:rPr>
        <w:t>73, рассмотрев представленный администрацией местного самоуправления Бесланского городского поселения проект бюджета Бесланск</w:t>
      </w:r>
      <w:r w:rsidR="00986864">
        <w:rPr>
          <w:rFonts w:eastAsia="Calibri"/>
          <w:bCs/>
        </w:rPr>
        <w:t>ого городского поселения на 2022</w:t>
      </w:r>
      <w:r w:rsidRPr="0087779F">
        <w:rPr>
          <w:rFonts w:eastAsia="Calibri"/>
          <w:bCs/>
        </w:rPr>
        <w:t xml:space="preserve"> год, Собрание представителей Бесланского городского поселения</w:t>
      </w:r>
    </w:p>
    <w:p w:rsidR="00E9376A" w:rsidRPr="0087779F" w:rsidRDefault="00E9376A" w:rsidP="00E9376A">
      <w:pPr>
        <w:ind w:firstLine="851"/>
        <w:contextualSpacing/>
        <w:jc w:val="both"/>
        <w:rPr>
          <w:rFonts w:eastAsia="Calibri"/>
          <w:bCs/>
        </w:rPr>
      </w:pPr>
    </w:p>
    <w:p w:rsidR="00E9376A" w:rsidRDefault="00E9376A" w:rsidP="00E9376A">
      <w:pPr>
        <w:contextualSpacing/>
        <w:jc w:val="center"/>
        <w:rPr>
          <w:rFonts w:eastAsia="Calibri"/>
          <w:b/>
          <w:bCs/>
        </w:rPr>
      </w:pPr>
      <w:r w:rsidRPr="0087779F">
        <w:rPr>
          <w:rFonts w:eastAsia="Calibri"/>
          <w:b/>
          <w:bCs/>
        </w:rPr>
        <w:t>РЕШАЕТ:</w:t>
      </w: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</w:rPr>
      </w:pPr>
    </w:p>
    <w:p w:rsidR="00E9376A" w:rsidRPr="0087779F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1.  Одобрить проект бюджета Бесланск</w:t>
      </w:r>
      <w:r w:rsidR="00986864">
        <w:rPr>
          <w:rFonts w:eastAsia="Calibri"/>
          <w:bCs/>
        </w:rPr>
        <w:t>ого городского поселения на 2022</w:t>
      </w:r>
      <w:r>
        <w:rPr>
          <w:rFonts w:eastAsia="Calibri"/>
          <w:bCs/>
        </w:rPr>
        <w:t xml:space="preserve"> </w:t>
      </w:r>
      <w:r w:rsidRPr="0087779F">
        <w:rPr>
          <w:rFonts w:eastAsia="Calibri"/>
          <w:bCs/>
        </w:rPr>
        <w:t>год.</w:t>
      </w:r>
    </w:p>
    <w:p w:rsidR="00E9376A" w:rsidRPr="0087779F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2. </w:t>
      </w:r>
      <w:r w:rsidRPr="0087779F">
        <w:rPr>
          <w:rFonts w:eastAsia="Calibri"/>
          <w:bCs/>
        </w:rPr>
        <w:t>Проект решения «О</w:t>
      </w:r>
      <w:r>
        <w:rPr>
          <w:rFonts w:eastAsia="Calibri"/>
          <w:bCs/>
        </w:rPr>
        <w:t xml:space="preserve"> бюджете Бесланского городского </w:t>
      </w:r>
      <w:r w:rsidRPr="0087779F">
        <w:rPr>
          <w:rFonts w:eastAsia="Calibri"/>
          <w:bCs/>
        </w:rPr>
        <w:t xml:space="preserve">поселения                            </w:t>
      </w:r>
      <w:r>
        <w:rPr>
          <w:rFonts w:eastAsia="Calibri"/>
          <w:bCs/>
        </w:rPr>
        <w:t xml:space="preserve">   </w:t>
      </w:r>
      <w:r w:rsidR="00986864">
        <w:rPr>
          <w:rFonts w:eastAsia="Calibri"/>
          <w:bCs/>
        </w:rPr>
        <w:t xml:space="preserve">                      на 2022</w:t>
      </w:r>
      <w:r w:rsidRPr="0087779F">
        <w:rPr>
          <w:rFonts w:eastAsia="Calibri"/>
          <w:bCs/>
        </w:rPr>
        <w:t xml:space="preserve"> год» (прилагается) рассмотреть на публичных слушаниях. Форма проведения публичных слушаний – слушания по проектам правовых актов в органе местного самоуправления.</w:t>
      </w:r>
    </w:p>
    <w:p w:rsidR="00E9376A" w:rsidRPr="0087779F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 3. Провести публичные слушания по проекту решения «О бюджете Бесланск</w:t>
      </w:r>
      <w:r w:rsidR="00986864">
        <w:rPr>
          <w:rFonts w:eastAsia="Calibri"/>
          <w:bCs/>
        </w:rPr>
        <w:t>ого городского поселения на 2022</w:t>
      </w:r>
      <w:r w:rsidRPr="0087779F">
        <w:rPr>
          <w:rFonts w:eastAsia="Calibri"/>
          <w:bCs/>
        </w:rPr>
        <w:t xml:space="preserve"> год» </w:t>
      </w:r>
      <w:r w:rsidR="00A975C7">
        <w:rPr>
          <w:rFonts w:eastAsia="Calibri"/>
          <w:bCs/>
        </w:rPr>
        <w:t>19</w:t>
      </w:r>
      <w:r w:rsidR="00986864">
        <w:rPr>
          <w:rFonts w:eastAsia="Calibri"/>
          <w:bCs/>
        </w:rPr>
        <w:t xml:space="preserve"> </w:t>
      </w:r>
      <w:r w:rsidR="00A975C7">
        <w:rPr>
          <w:rFonts w:eastAsia="Calibri"/>
          <w:bCs/>
        </w:rPr>
        <w:t>ноября</w:t>
      </w:r>
      <w:r w:rsidR="00986864">
        <w:rPr>
          <w:rFonts w:eastAsia="Calibri"/>
          <w:bCs/>
        </w:rPr>
        <w:t xml:space="preserve"> 2021г. в 13</w:t>
      </w:r>
      <w:r>
        <w:rPr>
          <w:rFonts w:eastAsia="Calibri"/>
          <w:bCs/>
        </w:rPr>
        <w:t xml:space="preserve"> час. 00</w:t>
      </w:r>
      <w:r w:rsidRPr="0087779F">
        <w:rPr>
          <w:rFonts w:eastAsia="Calibri"/>
          <w:bCs/>
        </w:rPr>
        <w:t xml:space="preserve"> мин. по адресу: РСО-Алания, Правобережный район, г. Беслан, ул. Ген. Плиева 18, 3 этаж, зал заседаний.</w:t>
      </w:r>
    </w:p>
    <w:p w:rsidR="00E9376A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</w:t>
      </w:r>
      <w:r>
        <w:rPr>
          <w:rFonts w:eastAsia="Calibri"/>
          <w:bCs/>
        </w:rPr>
        <w:t xml:space="preserve"> </w:t>
      </w:r>
      <w:r w:rsidRPr="0087779F">
        <w:rPr>
          <w:rFonts w:eastAsia="Calibri"/>
          <w:bCs/>
        </w:rPr>
        <w:t xml:space="preserve">4. </w:t>
      </w:r>
      <w:r w:rsidRPr="0087779F">
        <w:rPr>
          <w:bCs/>
        </w:rPr>
        <w:t xml:space="preserve">Ответственность за проведение вышеуказанных публичных слушаний </w:t>
      </w:r>
      <w:r>
        <w:rPr>
          <w:bCs/>
        </w:rPr>
        <w:t>возложить на комиссию Собрания представителей Бесланского городского поселения в следующем составе</w:t>
      </w:r>
      <w:r>
        <w:rPr>
          <w:rFonts w:eastAsia="Calibri"/>
          <w:bCs/>
        </w:rPr>
        <w:t xml:space="preserve">: </w:t>
      </w:r>
      <w:proofErr w:type="spellStart"/>
      <w:r>
        <w:rPr>
          <w:rFonts w:eastAsia="Calibri"/>
          <w:bCs/>
        </w:rPr>
        <w:t>Кисиев</w:t>
      </w:r>
      <w:proofErr w:type="spellEnd"/>
      <w:r>
        <w:rPr>
          <w:rFonts w:eastAsia="Calibri"/>
          <w:bCs/>
        </w:rPr>
        <w:t xml:space="preserve"> Д. Б. -  председатель  комиссии, члены комиссии – </w:t>
      </w:r>
      <w:r w:rsidR="00986864">
        <w:rPr>
          <w:rFonts w:eastAsia="Calibri"/>
          <w:bCs/>
        </w:rPr>
        <w:t>Тавасиев З.Х.,</w:t>
      </w:r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Хаблиева</w:t>
      </w:r>
      <w:proofErr w:type="spellEnd"/>
      <w:r>
        <w:rPr>
          <w:rFonts w:eastAsia="Calibri"/>
          <w:bCs/>
        </w:rPr>
        <w:t xml:space="preserve"> А.Т.  (контактный телефон: 8 (86737) 3-15-44).</w:t>
      </w:r>
    </w:p>
    <w:p w:rsidR="00E9376A" w:rsidRPr="0037404F" w:rsidRDefault="00E9376A" w:rsidP="00E9376A">
      <w:pPr>
        <w:tabs>
          <w:tab w:val="left" w:pos="993"/>
        </w:tabs>
        <w:contextualSpacing/>
        <w:jc w:val="both"/>
        <w:rPr>
          <w:bCs/>
        </w:rPr>
      </w:pPr>
      <w:r>
        <w:rPr>
          <w:rFonts w:eastAsia="Calibri"/>
          <w:bCs/>
        </w:rPr>
        <w:t xml:space="preserve">           5. Комиссии Собрания представителей Бесланского городского поселения провести </w:t>
      </w:r>
      <w:r w:rsidRPr="0087779F">
        <w:rPr>
          <w:rFonts w:eastAsia="Calibri"/>
          <w:bCs/>
        </w:rPr>
        <w:t>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E9376A" w:rsidRDefault="00E9376A" w:rsidP="00E9376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</w:t>
      </w:r>
      <w:r w:rsidRPr="0087779F">
        <w:rPr>
          <w:rFonts w:eastAsia="Calibri"/>
          <w:bCs/>
        </w:rPr>
        <w:t xml:space="preserve">6. Настоящее решение подлежит официальному опубликованию (обнародованию). </w:t>
      </w:r>
    </w:p>
    <w:p w:rsidR="00972B6D" w:rsidRDefault="00972B6D" w:rsidP="00E9376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</w:p>
    <w:p w:rsidR="00E9376A" w:rsidRPr="0087779F" w:rsidRDefault="00E9376A" w:rsidP="00E9376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</w:p>
    <w:p w:rsidR="00E9376A" w:rsidRDefault="00E9376A" w:rsidP="00E9376A">
      <w:pPr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Глава муниципального образования </w:t>
      </w:r>
    </w:p>
    <w:p w:rsidR="00E9376A" w:rsidRDefault="00E9376A" w:rsidP="00005F68">
      <w:pPr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Бесланского городского поселения  </w:t>
      </w:r>
      <w:r w:rsidRPr="0087779F">
        <w:rPr>
          <w:rFonts w:eastAsia="Calibri"/>
          <w:b/>
          <w:bCs/>
        </w:rPr>
        <w:tab/>
        <w:t xml:space="preserve">             </w:t>
      </w:r>
      <w:r>
        <w:rPr>
          <w:rFonts w:eastAsia="Calibri"/>
          <w:b/>
          <w:bCs/>
        </w:rPr>
        <w:t xml:space="preserve">   </w:t>
      </w:r>
      <w:r w:rsidRPr="0087779F">
        <w:rPr>
          <w:rFonts w:eastAsia="Calibri"/>
          <w:b/>
          <w:bCs/>
        </w:rPr>
        <w:t xml:space="preserve">       </w:t>
      </w:r>
      <w:r w:rsidRPr="0087779F"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 xml:space="preserve">  </w:t>
      </w:r>
      <w:r w:rsidRPr="0087779F">
        <w:rPr>
          <w:rFonts w:eastAsia="Calibri"/>
          <w:b/>
          <w:bCs/>
        </w:rPr>
        <w:t xml:space="preserve">                   </w:t>
      </w:r>
      <w:r>
        <w:rPr>
          <w:rFonts w:eastAsia="Calibri"/>
          <w:b/>
          <w:bCs/>
        </w:rPr>
        <w:t xml:space="preserve">                В. Б. </w:t>
      </w:r>
      <w:proofErr w:type="spellStart"/>
      <w:r>
        <w:rPr>
          <w:rFonts w:eastAsia="Calibri"/>
          <w:b/>
          <w:bCs/>
        </w:rPr>
        <w:t>Татаров</w:t>
      </w:r>
      <w:proofErr w:type="spellEnd"/>
    </w:p>
    <w:p w:rsidR="00E9376A" w:rsidRDefault="00E9376A" w:rsidP="00005F68">
      <w:pPr>
        <w:contextualSpacing/>
        <w:rPr>
          <w:rFonts w:eastAsia="Calibri"/>
          <w:b/>
          <w:bCs/>
        </w:rPr>
      </w:pPr>
    </w:p>
    <w:p w:rsidR="00005F68" w:rsidRPr="0006683E" w:rsidRDefault="00E9376A" w:rsidP="00005F68">
      <w:pPr>
        <w:contextualSpacing/>
        <w:rPr>
          <w:rFonts w:eastAsia="Calibri"/>
          <w:b/>
          <w:bCs/>
        </w:rPr>
      </w:pPr>
      <w:r w:rsidRPr="0006683E">
        <w:rPr>
          <w:rFonts w:eastAsia="Calibri"/>
          <w:bCs/>
          <w:noProof/>
        </w:rPr>
        <w:drawing>
          <wp:anchor distT="0" distB="0" distL="114300" distR="114300" simplePos="0" relativeHeight="251659264" behindDoc="1" locked="0" layoutInCell="1" allowOverlap="1" wp14:anchorId="1E6E314E" wp14:editId="0466445F">
            <wp:simplePos x="0" y="0"/>
            <wp:positionH relativeFrom="column">
              <wp:posOffset>2289810</wp:posOffset>
            </wp:positionH>
            <wp:positionV relativeFrom="paragraph">
              <wp:posOffset>-506730</wp:posOffset>
            </wp:positionV>
            <wp:extent cx="981075" cy="12287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3E" w:rsidRPr="0006683E">
        <w:rPr>
          <w:rFonts w:eastAsia="Calibri"/>
          <w:b/>
          <w:bCs/>
        </w:rPr>
        <w:t>ПРОЕКТ</w:t>
      </w:r>
    </w:p>
    <w:p w:rsidR="00005F68" w:rsidRDefault="00005F68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DD622A" w:rsidRDefault="00DD622A" w:rsidP="0006683E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442D41">
        <w:rPr>
          <w:rFonts w:eastAsia="Calibri"/>
          <w:b/>
          <w:bCs/>
          <w:sz w:val="28"/>
          <w:szCs w:val="28"/>
        </w:rPr>
        <w:t>Бесланское</w:t>
      </w:r>
      <w:proofErr w:type="spellEnd"/>
      <w:r w:rsidRPr="00442D41">
        <w:rPr>
          <w:rFonts w:eastAsia="Calibri"/>
          <w:b/>
          <w:bCs/>
          <w:sz w:val="28"/>
          <w:szCs w:val="28"/>
        </w:rPr>
        <w:t xml:space="preserve"> городское поселение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4F2B97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Решение № </w:t>
      </w: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</w:t>
      </w:r>
      <w:r w:rsidR="004F2B97">
        <w:rPr>
          <w:rFonts w:eastAsia="Calibri"/>
          <w:b/>
          <w:bCs/>
          <w:sz w:val="28"/>
          <w:szCs w:val="28"/>
        </w:rPr>
        <w:t>«___»______2021</w:t>
      </w:r>
      <w:r w:rsidRPr="003F321D">
        <w:rPr>
          <w:rFonts w:eastAsia="Calibri"/>
          <w:b/>
          <w:bCs/>
          <w:sz w:val="28"/>
          <w:szCs w:val="28"/>
        </w:rPr>
        <w:t xml:space="preserve"> </w:t>
      </w:r>
      <w:r w:rsidR="0006683E">
        <w:rPr>
          <w:rFonts w:eastAsia="Calibri"/>
          <w:b/>
          <w:bCs/>
          <w:sz w:val="28"/>
          <w:szCs w:val="28"/>
        </w:rPr>
        <w:t xml:space="preserve"> г.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 w:rsidR="00650778"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   </w:t>
      </w:r>
      <w:r w:rsidR="004F2B97"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005F68" w:rsidRPr="003F321D" w:rsidTr="0006683E">
        <w:tc>
          <w:tcPr>
            <w:tcW w:w="5495" w:type="dxa"/>
          </w:tcPr>
          <w:p w:rsidR="00005F68" w:rsidRPr="003F321D" w:rsidRDefault="0006683E" w:rsidP="00AC07F3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 w:rsidR="0060490E">
              <w:rPr>
                <w:rFonts w:eastAsia="Calibri"/>
                <w:b/>
                <w:bCs/>
                <w:sz w:val="28"/>
                <w:szCs w:val="28"/>
              </w:rPr>
              <w:t>ого городского поселения на 2022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5276" w:type="dxa"/>
          </w:tcPr>
          <w:p w:rsidR="00005F68" w:rsidRPr="003F321D" w:rsidRDefault="00005F68" w:rsidP="00AC07F3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принимая во внимание итоги пуб</w:t>
      </w:r>
      <w:r w:rsidR="00A975C7">
        <w:rPr>
          <w:rFonts w:eastAsia="Calibri"/>
          <w:bCs/>
          <w:sz w:val="28"/>
          <w:szCs w:val="28"/>
        </w:rPr>
        <w:t xml:space="preserve">личных слушаний от «___»______ </w:t>
      </w:r>
      <w:r w:rsidRPr="00986864">
        <w:rPr>
          <w:rFonts w:eastAsia="Calibri"/>
          <w:bCs/>
          <w:sz w:val="28"/>
          <w:szCs w:val="28"/>
        </w:rPr>
        <w:t>2021 г., рассмотре</w:t>
      </w:r>
      <w:r w:rsidR="00A975C7"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 района Республики Северная Осетия-Алания бюджет Бесланского городского поселения на 2022 год, Собрание Представителей Бесланского городского поселения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Бесланского городского поселения на 2022 год: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общий объем доходов бюджета Бесланского городского поселения в сумме 80 600 тыс. руб.;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в сумме 80 600 тыс. руб.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2. Утвердить доходы бюджета Бесланского городского поселения на 2022 год в соответствии с классификацией доходов бюджетов Российской Федерации (приложение №2).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3. Утвердить распределение бюджетных ассигнований по разделам, подразделам, целевым статьям и видам расходов классификации расходов бюджета Бесланского городского поселения на 2022 год (приложение № 3).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>4. Утвердить расходы бюджета Бесланского городского поселения на 2022 год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5. Утвердить оборотную кассовую наличность на 2022 г. в сумме 20 000 (двадцать тысяч) рублей.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    6. В 2022 году предоставить, следующие субсидии: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1).  субсидии МУП «Редакция газеты «Вестник Беслана»» на обеспечение (возмещение) затрат, возникших при издании городской газеты;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2). субсидии МБУ «ЧИСТОСЕРВИС» на финансовое обеспечение выполнения муниципального задания на оказание муниципа</w:t>
      </w:r>
      <w:r w:rsidR="00704692">
        <w:rPr>
          <w:rFonts w:eastAsia="Calibri"/>
          <w:bCs/>
          <w:sz w:val="28"/>
          <w:szCs w:val="28"/>
        </w:rPr>
        <w:t>льных услуг (выполнение работ), а также на иные цели.</w:t>
      </w:r>
      <w:r w:rsidRPr="00986864">
        <w:rPr>
          <w:rFonts w:eastAsia="Calibri"/>
          <w:bCs/>
          <w:sz w:val="28"/>
          <w:szCs w:val="28"/>
        </w:rPr>
        <w:t xml:space="preserve"> 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7. Установить, что в 2022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8. Установить, что согласно статьи 62 Бюджетного кодекса Российской Федерации в бюджет Бесланского городского поселения поступают: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 xml:space="preserve"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</w:t>
      </w:r>
      <w:proofErr w:type="gramStart"/>
      <w:r w:rsidRPr="00986864">
        <w:rPr>
          <w:rFonts w:eastAsia="Calibri"/>
          <w:bCs/>
          <w:sz w:val="28"/>
          <w:szCs w:val="28"/>
        </w:rPr>
        <w:t>так же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 иное;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 xml:space="preserve">9.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 района Республики Северная Осетия - Алания.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Pr="00986864">
        <w:rPr>
          <w:rFonts w:eastAsia="Calibri"/>
          <w:bCs/>
          <w:sz w:val="28"/>
          <w:szCs w:val="28"/>
        </w:rPr>
        <w:t>0. Утвердить перечень главных администраторов доходов бюджета Бесланского городского поселения и закрепленных за ними доходов. 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 района за администрацией местного самоуправления Бесланского городского поселения Правобережного района Республики Северная Осетия – Алания.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11.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 района Республики Северная Осетия – Алания вправе использовать доходы, фактически полученные при исполнении бюджета сверх утвержденных настоящим Решением в соответствии со статьей 232 Бюджетного кодекса Российской Федерации.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12.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13.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 изменений в настоящем Решении в случае использования остатков средств бюджета Бесланского городского поселения на 01.01.2022 г.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14.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</w:t>
      </w:r>
      <w:r w:rsidRPr="00986864">
        <w:rPr>
          <w:rFonts w:eastAsia="Calibri"/>
          <w:bCs/>
          <w:sz w:val="28"/>
          <w:szCs w:val="28"/>
        </w:rPr>
        <w:lastRenderedPageBreak/>
        <w:t>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15. Установить, что в ходе исполнения местного бюджета, администрация местного самоуправления Бесланского городского поселения Правобережного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16. Настоящее Решение подлежит опубликованию (обнародованию).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>17. Настоящее Решение вступает в силу с 01 января 2022 года.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18. Контроль за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 района Республики Северная Осетия – Алания и постоянно действующую комиссию по бюджету и экономическим вопросам Собрания представителей Бесланского городского поселения.</w:t>
      </w: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005F68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Default="00005F68" w:rsidP="00005F68">
      <w:pPr>
        <w:rPr>
          <w:rFonts w:eastAsia="Calibri"/>
          <w:b/>
          <w:bCs/>
          <w:sz w:val="28"/>
          <w:szCs w:val="28"/>
        </w:rPr>
      </w:pPr>
      <w:r w:rsidRPr="003F321D">
        <w:rPr>
          <w:rFonts w:eastAsia="Calibri"/>
          <w:b/>
          <w:bCs/>
          <w:sz w:val="28"/>
          <w:szCs w:val="28"/>
        </w:rPr>
        <w:t xml:space="preserve">Глава </w:t>
      </w:r>
      <w:r>
        <w:rPr>
          <w:rFonts w:eastAsia="Calibri"/>
          <w:b/>
          <w:bCs/>
          <w:sz w:val="28"/>
          <w:szCs w:val="28"/>
        </w:rPr>
        <w:t>муниципального образования</w:t>
      </w:r>
    </w:p>
    <w:p w:rsidR="00AC07F3" w:rsidRPr="00005F68" w:rsidRDefault="00005F68" w:rsidP="00005F68">
      <w:pPr>
        <w:rPr>
          <w:rFonts w:eastAsia="Calibri"/>
          <w:b/>
          <w:bCs/>
          <w:sz w:val="28"/>
          <w:szCs w:val="28"/>
        </w:rPr>
      </w:pPr>
      <w:r w:rsidRPr="003F321D">
        <w:rPr>
          <w:rFonts w:eastAsia="Calibri"/>
          <w:b/>
          <w:bCs/>
          <w:sz w:val="28"/>
          <w:szCs w:val="28"/>
        </w:rPr>
        <w:t xml:space="preserve">Бесланского городского поселения     </w:t>
      </w:r>
      <w:r>
        <w:rPr>
          <w:rFonts w:eastAsia="Calibri"/>
          <w:b/>
          <w:bCs/>
          <w:sz w:val="28"/>
          <w:szCs w:val="28"/>
        </w:rPr>
        <w:t xml:space="preserve">                                         В. Б. </w:t>
      </w:r>
      <w:proofErr w:type="spellStart"/>
      <w:r>
        <w:rPr>
          <w:rFonts w:eastAsia="Calibri"/>
          <w:b/>
          <w:bCs/>
          <w:sz w:val="28"/>
          <w:szCs w:val="28"/>
        </w:rPr>
        <w:t>Татаров</w:t>
      </w:r>
      <w:proofErr w:type="spellEnd"/>
      <w:r>
        <w:rPr>
          <w:rFonts w:eastAsia="Calibri"/>
          <w:b/>
          <w:bCs/>
          <w:sz w:val="28"/>
          <w:szCs w:val="28"/>
        </w:rPr>
        <w:t xml:space="preserve">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</w:t>
      </w:r>
    </w:p>
    <w:sectPr w:rsidR="00AC07F3" w:rsidRPr="0000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14"/>
    <w:rsid w:val="00005F68"/>
    <w:rsid w:val="0006683E"/>
    <w:rsid w:val="00074917"/>
    <w:rsid w:val="000F276F"/>
    <w:rsid w:val="002C0EFC"/>
    <w:rsid w:val="003E67F5"/>
    <w:rsid w:val="00442E4A"/>
    <w:rsid w:val="004924DA"/>
    <w:rsid w:val="004F2B97"/>
    <w:rsid w:val="0060490E"/>
    <w:rsid w:val="00650778"/>
    <w:rsid w:val="00704692"/>
    <w:rsid w:val="008B44CC"/>
    <w:rsid w:val="008F03AD"/>
    <w:rsid w:val="00972B6D"/>
    <w:rsid w:val="00986864"/>
    <w:rsid w:val="00A44A14"/>
    <w:rsid w:val="00A975C7"/>
    <w:rsid w:val="00AC07F3"/>
    <w:rsid w:val="00B8022B"/>
    <w:rsid w:val="00BE065C"/>
    <w:rsid w:val="00C4279A"/>
    <w:rsid w:val="00C56475"/>
    <w:rsid w:val="00CE4389"/>
    <w:rsid w:val="00DD622A"/>
    <w:rsid w:val="00E111F7"/>
    <w:rsid w:val="00E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E9812-C213-4F92-87F0-E0C1FC82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2</cp:revision>
  <cp:lastPrinted>2021-10-29T07:35:00Z</cp:lastPrinted>
  <dcterms:created xsi:type="dcterms:W3CDTF">2021-10-29T11:24:00Z</dcterms:created>
  <dcterms:modified xsi:type="dcterms:W3CDTF">2021-10-29T11:24:00Z</dcterms:modified>
</cp:coreProperties>
</file>